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6B_479/2019 vom 11. Juli 2019</w:t>
      </w:r>
    </w:p>
    <w:p>
      <w:r>
        <w:t>Bundesgericht, 2019-07-11, DE</w:t>
      </w:r>
    </w:p>
    <w:p>
      <w:r>
        <w:rPr>
          <w:b/>
        </w:rPr>
        <w:t xml:space="preserve">Quelle: </w:t>
      </w:r>
      <w:r>
        <w:t>https://mcp.opencaselaw.ch/entscheid/bger_6B_479_2019</w:t>
      </w:r>
    </w:p>
    <w:p>
      <w:r>
        <w:t>FR: TF 6B_479/2019 du 11 juillet 2019</w:t>
      </w:r>
    </w:p>
    <w:p>
      <w:r>
        <w:t>IT: TF 6B_479/2019 del 11 luglio 2019</w:t>
      </w:r>
    </w:p>
    <w:p>
      <w:pPr>
        <w:pStyle w:val="Heading2"/>
      </w:pPr>
      <w:r>
        <w:t>Erwägungen</w:t>
      </w:r>
    </w:p>
    <w:p>
      <w:r>
        <w:rPr>
          <w:b/>
        </w:rPr>
        <w:t>E. 1</w:t>
      </w:r>
    </w:p>
    <w:p>
      <w:r>
        <w:t>Die Staatsanwaltschaft Winterthur/Unterland verfügte am 28. März 2018 die Einstellung des Strafverfahrens gegen X.________. Dagegen erhoben A.________ und die B.________ AG Beschwerde beim Obergericht des Kantons Zürich. Dieses wies die Beschwerde am 1. April 2019 ab, soweit es darauf eintrat.</w:t>
      </w:r>
    </w:p>
    <w:p>
      <w:r>
        <w:rPr>
          <w:b/>
        </w:rPr>
        <w:t>E. 2</w:t>
      </w:r>
    </w:p>
    <w:p>
      <w:r>
        <w:t>A.________ und die B.________ AG führen Beschwerde in Strafsachen. Sie beantragen, der Beschluss des Obergerichts sowie die Einstellungsverfügung seien aufzuheben und die Staatsanwaltschaft sei anzuweisen, die Strafuntersuchung gegen X.________ sei weiterzuführen. Der Beschwerde sei die aufschiebende Wirkung zu erteilen.</w:t>
      </w:r>
    </w:p>
    <w:p>
      <w:r>
        <w:rPr>
          <w:b/>
        </w:rPr>
        <w:t>E. 3</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6B_611/2017 vom 9. März 2018 E. 1.1; je mit Hinweisen).</w:t>
      </w:r>
    </w:p>
    <w:p>
      <w:r>
        <w:t>Die Begründung muss in der Beschwerde selbst enthalten sein; der blosse Verweis auf Ausführungen in anderen Rechtsschriften oder auf die Akten reicht nicht aus ( BGE 140 III 115 E. 2 mit Hinweisen). Die Prüfung der Eintretensvoraussetzungen erfolgt ohne eine eingehende Auseinandersetzung mit der Sache. Entsprechend ist - namentlich bei komplexen Fällen, in welchen allfällige Zivilansprüche nicht offensichtlich sind - einleitend und in gedrängter Form darzulegen, inwiefern die Eintretensvoraussetzungen erfüllt sind.</w:t>
      </w:r>
    </w:p>
    <w:p>
      <w:r>
        <w:rPr>
          <w:b/>
        </w:rPr>
        <w:t>E. 4</w:t>
      </w:r>
    </w:p>
    <w:p>
      <w:r>
        <w:t>Die Begründung der Beschwerde gliedert sich in vier Abschnitte: "I. Formelles" (S. 3 bis 5), "II. Erwägungen der Vorinstanz" (S. 5 bis 34), "III. Beschwerdegründe im Besonderen" (S. 35 bis 44) und "IV. Kosten und Entschädigung gemäss Verfahrensausgang" (S. 44). Sie enthält keine spezifischen Ausführungen zur Legitimation und auch aus einer Lektüre der gesamten Beschwerdeschrift ist nicht ohne Weiteres ersichtlich, ob und inwiefern Zivilforderungen der beiden Beschwerdeführer bestehen. Das Vorliegen der Legitimationsvoraussetzungen wurde damit nicht hinreichend belegt.</w:t>
      </w:r>
    </w:p>
    <w:p>
      <w:r>
        <w:rPr>
          <w:b/>
        </w:rPr>
        <w:t>E. 5</w:t>
      </w:r>
    </w:p>
    <w:p>
      <w:r>
        <w:t>Die Beschwerdeführer rügen eine mehrfache Verletzung des Anspruchs auf rechtliches Gehör seitens der Staatsanwaltschaft und der Vorinstanz. Die Verfügung der Staatsanwaltschaft ist nicht Anfechtungsgegenstand im Verfahren vor dem Bundesgericht ( Art. 80 Abs. 1 BGG ).</w:t>
      </w:r>
    </w:p>
    <w:p>
      <w:r>
        <w:t>Hinsichtlich der Vorinstanz führen die Beschwerdeführer aus, dass die Gehörsverletzungen "zumindest teilweise" Folge einer falschen Anwendung von Art. 303 StGB seien (Beschwerde, S. 36). Damit ist eine von der Sache losgelöste Prüfung der Rüge ausgeschlossen. Aus welchen Gründen darüber hinaus eine Verletzung des Anspruchs auf rechtliches Gehör vorliegen soll, legen die Beschwerdeführer nicht dar. Auf die Rüge ist nicht einzutreten.</w:t>
      </w:r>
    </w:p>
    <w:p>
      <w:r>
        <w:rPr>
          <w:b/>
        </w:rPr>
        <w:t>E. 6</w:t>
      </w:r>
    </w:p>
    <w:p>
      <w:r>
        <w:t>Auf die Beschwerde ist nicht einzutreten. Das Gesuch um aufschiebende Wirkung wird damit gegenstandslos. Die Beschwerdeführer tragen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