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6B_478/2017 vom 16. Mai 2017</w:t>
      </w:r>
    </w:p>
    <w:p>
      <w:r>
        <w:t>Bundesgericht, 2017-05-16, DE</w:t>
      </w:r>
    </w:p>
    <w:p>
      <w:r>
        <w:rPr>
          <w:b/>
        </w:rPr>
        <w:t xml:space="preserve">Quelle: </w:t>
      </w:r>
      <w:r>
        <w:t>https://mcp.opencaselaw.ch/entscheid/bger_6B_478_2017</w:t>
      </w:r>
    </w:p>
    <w:p>
      <w:r>
        <w:t>FR: TF 6B_478/2017 du 16 mai 2017</w:t>
      </w:r>
    </w:p>
    <w:p>
      <w:r>
        <w:t>IT: TF 6B_478/2017 del 16 maggio 2017</w:t>
      </w:r>
    </w:p>
    <w:p>
      <w:pPr>
        <w:pStyle w:val="Heading2"/>
      </w:pPr>
      <w:r>
        <w:t>Erwägungen</w:t>
      </w:r>
    </w:p>
    <w:p>
      <w:r>
        <w:rPr>
          <w:b/>
        </w:rPr>
        <w:t>E. 1</w:t>
      </w:r>
    </w:p>
    <w:p>
      <w:r>
        <w:t>Die Staatsanwaltschaft Brugg-Zurzach stellte am 7. Dezember 2016 ein gegen X.________ wegen Drohung eröffnetes Strafverfahren ein.</w:t>
      </w:r>
    </w:p>
    <w:p>
      <w:r>
        <w:t>Die Beschwerdekammer des Obergerichts des Kantons Aargau wies ein Gesuch von A.________ um Wiederherstellung der Beschwerdefrist ab und trat auf die von ihm gegen die Einstellungsverfügung erhobene Beschwerde nicht ein.</w:t>
      </w:r>
    </w:p>
    <w:p>
      <w:r>
        <w:rPr>
          <w:b/>
        </w:rPr>
        <w:t>E. 2</w:t>
      </w:r>
    </w:p>
    <w:p>
      <w:r>
        <w:t>A.________ führt Beschwerde in Strafsachen und beantragt, der Entscheid des Obergerichts sei aufzuheben, sein Gesuch um Wiederherstellung der Beschwerdefrist gutzuheissen und die Vorinstanz anzuweisen, auf die Beschwerde gegen die Einstellungsverfügung einzutreten.</w:t>
      </w:r>
    </w:p>
    <w:p>
      <w:r>
        <w:rPr>
          <w:b/>
        </w:rPr>
        <w:t>E. 3</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w:t>
      </w:r>
    </w:p>
    <w:p>
      <w:r>
        <w:t>Der Beschwerdeführer hat sich mit seinem Strafantrag weder als Straf- noch Zivilkläger konstituiert und zudem ausdrücklich auf die Stellung als Privatkläger verzichtet. Er kann demnach allfällige zivilrechtliche Ansprüche im Strafverfahren nicht adhäsionsweise geltend machen (vgl. Art. 318 StPO ). Das Strafverfahren ist auch nicht blosses Vehikel zur Durchsetzung von Zivilforderungen in einem Zivilprozess, den die Privatklägerschaft erst nach einem für sie günstigen Abschluss des Strafprozesses anzustrengen gedenkt.</w:t>
      </w:r>
    </w:p>
    <w:p>
      <w:r>
        <w:rPr>
          <w:b/>
        </w:rPr>
        <w:t>E. 4</w:t>
      </w:r>
    </w:p>
    <w:p>
      <w:r>
        <w:t>Auf die Beschwerde in Strafsachen ist im Verfahren gemäss Art. 108 BGG mangels Beschwerdelegitimation nicht einzutreten. Die Gerichtskosten sind dem Beschwerdeführer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