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6B_477/2021 vom 14. Februar 2022</w:t>
      </w:r>
    </w:p>
    <w:p>
      <w:r>
        <w:t>Bundesgericht, 2022-02-14, FR</w:t>
      </w:r>
    </w:p>
    <w:p>
      <w:r>
        <w:rPr>
          <w:b/>
        </w:rPr>
        <w:t xml:space="preserve">Quelle: </w:t>
      </w:r>
      <w:r>
        <w:t>https://mcp.opencaselaw.ch/entscheid/bger_6B_477_2021</w:t>
      </w:r>
    </w:p>
    <w:p>
      <w:r>
        <w:t>FR: TF 6B_477/2021 du 14 février 2022</w:t>
      </w:r>
    </w:p>
    <w:p>
      <w:r>
        <w:t>IT: TF 6B_477/2021 del 14 febbraio 2022</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qui est la mère de C.A.________ - et donc un proche de la victime au sens de l' art. 116 al. 2 CPP -, a participé à la procédure de dernière instance cantonale. Elle a pris des conclusions civiles qui ont été admises en première instance, puis rejetées en seconde instance en raison de l'acquittement de l'intimé. La recourante a ainsi un intérêt juridique à l'annulation ou à la modification du jugement attaqué, de sorte qu'elle est habilitée à recourir au Tribunal fédéral (cf. arrêt 6B_258/2019 du 25 mars 2019 consid. 1).</w:t>
      </w:r>
    </w:p>
    <w:p>
      <w:r>
        <w:rPr>
          <w:b/>
        </w:rPr>
        <w:t>E. 2</w:t>
      </w:r>
    </w:p>
    <w:p>
      <w:r>
        <w:t>La recourante soutient que l'intimé doit être condamné pour homicide par négligence.</w:t>
      </w:r>
    </w:p>
    <w:p>
      <w:r>
        <w:rPr>
          <w:b/>
        </w:rPr>
        <w:t>E. 2.1</w:t>
      </w:r>
    </w:p>
    <w:p>
      <w:r>
        <w:t>Le premier juge a repris les conclusions des experts qui ont considéré que les causes les plus vraisemblables du sinistre étaient une inflammation due à la chaleur dégagée par une zone de cuisson de la table vitrocéramique, celle-ci étant soit laissée allumée par l'intimé, soit enclenchée par le chat, ou une activité humaine. Il a suivi les déclarations de l'intimé selon lesquelles il n'avait pas utilisé la table de cuisson et a en conséquence retenu que la plaque de cuisson avait été allumée par le chat. Ensuite, il s'est demandé si l'intimé avait fait preuve d'une imprévoyance coupable, question à laquelle il a répondu par l'affirmative. En effet, selon les déclarations de l'intimé, une année avant les faits, le chat avait activé la cuisinière et fait chauffer une plaque, de sorte que l'intimé connaissait la possibilité que le chat allume fortuitement une plaque de cuisson. Malgré cela, il n'avait pas activé la sécurité " enfants " et avait encore contribué à augmenter le danger en laissant deux casseroles empilées sur une plaque de cuisson, une machine à café sur une autre plaque de cuisson et une seconde machine à café à cheval sur la cuisinière vitrocéramique et l'évier (jugement de première instance p. 26).</w:t>
      </w:r>
    </w:p>
    <w:p>
      <w:r>
        <w:rPr>
          <w:b/>
        </w:rPr>
        <w:t>E. 2.2</w:t>
      </w:r>
    </w:p>
    <w:p>
      <w:r>
        <w:t>La cour cantonale s'est également référée aux conclusions de l'expertise. Elle a rappelé que les experts avaient retenu trois causes possibles de l'incendie: l'intimé aurait oublié d'éteindre une plaque de la cuisinière, il aurait effectué une autre activité ou le chat aurait enclenché une plaque de la cuisinière en marchant dessus. Comme les experts n'avaient privilégié aucune de ces trois hypothèses et considérant qu'il n'existait aucun autre élément probant, elle a estimé qu'il était impossible de retenir un scénario plutôt qu'un autre. Elle a dès lors libéré l'intimé des infractions d'homicide et d'incendie par négligence en application du principe " in dubio pro reo " (jugement attaqué p. 18). A titre subsidiaire, elle a ajouté que, même si l'hypothèse du chat et l'existence d'une négligence étaient retenues, dite négligence ne serait pas fautive. En effet, " cela reviendrait à dire qu'à chaque fois que toute personne qui possède un chat quitte son logement, celle-ci aurait l'obligation de s'assurer que la sécurité " enfants " de sa cuisinière est enclenchée, ce qui n'est pas concevable " (jugement attaqué p. 18).</w:t>
      </w:r>
    </w:p>
    <w:p>
      <w:r>
        <w:rPr>
          <w:b/>
        </w:rPr>
        <w:t>E. 3</w:t>
      </w:r>
    </w:p>
    <w:p>
      <w:r>
        <w:t>La recourante reproche à la cour cantonale d'avoir fait une fausse application du principe " in dubio pro reo ". Elle explique que, selon l'expertise, aucun doute n'existait quant au fait que le comportement de l'intimé avait causé l'incendie.</w:t>
      </w:r>
    </w:p>
    <w:p>
      <w:r>
        <w:rPr>
          <w:b/>
        </w:rPr>
        <w:t>E. 3.1</w:t>
      </w:r>
    </w:p>
    <w:p>
      <w:r>
        <w:t>Le principe " in dubio pro reo "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Lorsqu'il existe par exemple des expertises divergentes sur une question déterminante au fond, le juge doit évaluer quelles appréciations il souhaite suivre sans tenir compte de la présomption d'innocence. Il ne peut pas simplement suivre l'expertise la plus favorable au prévenu (arrêt 6B_547/2014 du 21 juillet 2014 consid. 1.1 et 1.4.6). Le principe " in dubio pro reo " ne comprend aucune instruction s'agissant des constatations qui devraient être tirées des moyens de preuve disponibles. L'appréciation des preuves en tant que telle est régie par le principe de la libre appréciation des preuves ( art. 10 al. 2 CPP ; ATF 144 IV 345 consid. 2.2.3.1). Le principe " in dubio pro reo " ne trouve application qu'après que toutes les preuves nécessaires du point de vue du juge ont été administrées et appréciées ( ATF 144 IV 345 consid. 2.2.3.2 p. 3; arrêts 6B_1189/2018 du 12 septembre 2019 consid. 2.1.1; 6B_288/2015 du 12 octobre 2015 consid. 1.5.3 et les références citées; 6B_922/2018 du 9 janvier 2020 consid. 4.3).</w:t>
      </w:r>
    </w:p>
    <w:p>
      <w:r>
        <w:rPr>
          <w:b/>
        </w:rPr>
        <w:t>E. 3.2</w:t>
      </w:r>
    </w:p>
    <w:p>
      <w:r>
        <w:t>En libérant l'intimé au motif que l'expertise ne privilégiait aucun des trois scénarios et qu'en conséquence l'intimé devait être libéré des accusations d'homicide par négligence et d'incendie par négligence en application du principe " in dubio pro reo ", la cour cantonale a fait application de ce principe d'une façon qui s'avère problématique.</w:t>
      </w:r>
    </w:p>
    <w:p>
      <w:r>
        <w:t>En effet, ce principe n'est applicable qu'après administration et appréciation</w:t>
      </w:r>
    </w:p>
    <w:p>
      <w:r>
        <w:t>complète des moyens de preuve nécessaires à la manifestation de la vérité (cf. consid. 3.1 ci-dessus). Or, en l'occurrence, la cour cantonale a appliqué le principe " in dubio pro reo " au stade de l'appréciation des preuves, pour déterminer comment l'expertise devait être appréciée et quelles conclusions devaient en être tirées. Le jugement attaqué ne comporte aucune discussion concernant la valeur probante des hypothèses retenues par les experts, notamment au regard des déclarations de l'intimé. La référence au principe " in dubio pro reo " s'avère ainsi prématurée.</w:t>
      </w:r>
    </w:p>
    <w:p>
      <w:r>
        <w:t>En outre, le principe " in dubio pro reo " permet au juge, lorsque deux ou plusieurs hypothèses apparaissent également vraisemblables, de retenir comme établie l'hypothèse la plus favorable au prévenu. En l'occurrence, l'expertise retient, dans les trois scénarios, que c'est l'intimé qui a déclenché l'incendie, de sorte qu'aucun de ceux-ci ne paraît lui être plus favorable. On peine donc à comprendre que le doute puisse lui profiter. Ce n'est qu'à titre subsidiaire que la cour cantonale affirme, sans aucune discussion, que, si l'on retient l'hypothèse du chat, aucune faute ne peut être imputée à l'intimé.</w:t>
      </w:r>
    </w:p>
    <w:p>
      <w:r>
        <w:t>En définitive, la cour cantonale a appliqué faussement le principe " in dubio pro reo " en tant que règle d'appréciation des preuves. Sa conclusion quant à la libération de l'intimé est donc contraire au droit.</w:t>
      </w:r>
    </w:p>
    <w:p>
      <w:r>
        <w:rPr>
          <w:b/>
        </w:rPr>
        <w:t>E. 4</w:t>
      </w:r>
    </w:p>
    <w:p>
      <w:r>
        <w:t>Au vu de ce qui précède, il y a lieu d'admettre le recours, d'annuler le jugement attaqué et de renvoyer la cause à la cour cantonale pour nouvelle décision. Il appartiendra à la cour cantonale de reprendre la procédure d'appréciation des preuves. Ce n'est que si celle-ci se solde par la constatation d'un doute sérieux qu'elle devra appliquer le principe " in dubio pro reo ". A ce stade de la procédure, il n'est pas nécessaire d'examiner les autres griefs soulevés par la recourante, à savoir la question de la faute de l'intimé et de la violation de l' art. 126 al. 2 CPP .</w:t>
      </w:r>
    </w:p>
    <w:p>
      <w:r>
        <w:rPr>
          <w:b/>
        </w:rPr>
        <w:t>E. 5</w:t>
      </w:r>
    </w:p>
    <w:p>
      <w:r>
        <w:t>Le recours doit en conséquence être admis, le jugement attaqué doit être annulé et la cause doit être renvoyée à la cour cantonale pour nouveau jugement.</w:t>
      </w:r>
    </w:p>
    <w:p>
      <w:r>
        <w:t>La recourante obtient gain de cause et n'a pas à supporter de frais. Elle peut en outre prétendre à de pleins dépens qui seront mis à la charge du canton de Vaud ( art. 68 al. 2 LTF ), ce qui rend sans objet sa demande d'assistance judiciaire ( art. 64 al. 2 LTF ).</w:t>
      </w:r>
    </w:p>
    <w:p>
      <w:r>
        <w:t>La demande d'assistance judiciaire de l'intimé doit être admise, les conditions de l' art. 64 al. 1 LTF étant réunies. L'intimé est dispensé des frais de procédure et Me Albert Habib, désigné en qualité d'avocat d'office de l'intimé ( art. 64 al. 2 LTF ), est indemnisé. Dans les circonstances d'espèce, il peut être renoncé de mettre des dépens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