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475/2019 vom 27. Mai 2019</w:t>
      </w:r>
    </w:p>
    <w:p>
      <w:r>
        <w:t>Bundesgericht, 2019-05-27, DE</w:t>
      </w:r>
    </w:p>
    <w:p>
      <w:r>
        <w:rPr>
          <w:b/>
        </w:rPr>
        <w:t xml:space="preserve">Quelle: </w:t>
      </w:r>
      <w:r>
        <w:t>https://mcp.opencaselaw.ch/entscheid/bger_6B_475_2019</w:t>
      </w:r>
    </w:p>
    <w:p>
      <w:r>
        <w:t>FR: TF 6B 475/2019 du 27 mai 2019</w:t>
      </w:r>
    </w:p>
    <w:p>
      <w:r>
        <w:t>IT: TF 6B 475/2019 del 27 maggio 2019</w:t>
      </w:r>
    </w:p>
    <w:p>
      <w:pPr>
        <w:pStyle w:val="Heading2"/>
      </w:pPr>
      <w:r>
        <w:t>Regeste</w:t>
      </w:r>
    </w:p>
    <w:p>
      <w:r>
        <w:t>Nichtanhandnahme; Nichteintreten | Strafprozess</w:t>
      </w:r>
    </w:p>
    <w:p>
      <w:pPr>
        <w:pStyle w:val="Heading2"/>
      </w:pPr>
      <w:r>
        <w:t>Erwägungen</w:t>
      </w:r>
    </w:p>
    <w:p>
      <w:r>
        <w:rPr>
          <w:b/>
        </w:rPr>
        <w:t>E. 1</w:t>
      </w:r>
    </w:p>
    <w:p>
      <w:r>
        <w:t>Die Staatsanwaltschaft des Kantons Solothurn nahm die Strafanzeige des Beschwerdeführers gegen X.________ mit Verfügung vom 27. Februar 2019 nicht an die Hand. Auf die vom Beschwerdeführer gegen die Nichtanhandnahmeverfügung erhobene Beschwerde sowie dessen Ausstandsgesuch trat das Obergericht des Kantons Solothurn mit Beschluss vom 15. März 2019 nicht ein. Der Beschwerdeführer gelangt dagegen mit Beschwerde an das Bundesgericht.</w:t>
      </w:r>
    </w:p>
    <w:p>
      <w:r>
        <w:rPr>
          <w:b/>
        </w:rPr>
        <w:t>E. 2</w:t>
      </w:r>
    </w:p>
    <w:p>
      <w:r>
        <w:t>Der Beschwerdeführer stellt gegen verschiedene Bundesrichter zumindest sinngemäss ein Ausstandsgesuch. Das unbegründete Ausstandsbegehren ist offensichtlich unzulässig. Darauf ist nicht einzutreten. Offensichtlich unzulässige oder rechtsmissbräuchliche Ausstandsgesuche, deren Beurteilung wie vorliegend keinerlei Ermessensbetätigung erfordert, können nach ständiger bundesgerichtlicher Praxis ohne Durchführung eines Verfahrens gemäss Art. 37 BGG unter Mitwirkung der abgelehnten Gerichtspersonen beurteilt werden (Urteil 6B_1157/2017 vom 29. Oktober 2018 E. 2 mit Hinweisen).</w:t>
      </w:r>
    </w:p>
    <w:p>
      <w:r>
        <w:rPr>
          <w:b/>
        </w:rPr>
        <w:t>E. 3</w:t>
      </w:r>
    </w:p>
    <w:p>
      <w:r>
        <w:t>Die Privatklägerschaft kann unbekümmert um die fehlende Legitimation in der Sache selbst (vgl. Art. 81 Abs. 1 lit. b Ziff. 5 BGG)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Eine Beschwerde hat ein Begehren und deren Begründung zu enthalten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4</w:t>
      </w:r>
    </w:p>
    <w:p>
      <w:r>
        <w:t>Der Beschwerdeführer wirft dem Betreibungsamt Region Solothurn widerrechtliche Handlungen vor. Die Vorinstanz trat auf die Beschwerde des Beschwerdeführers nicht ein, weil diese keine Begründung, sondern lediglich ein Fristerstreckungsgesuch enthielt. Auch das Ausstandsgesuch sei nicht näher begründet gewesen (angefochtener Entscheid S. 2). Gegenstand des vorliegenden Verfahrens bildet daher ausschliesslich die Frage, ob die Beschwerde des Beschwerdeführers den gesetzlichen Begründungsanforderungen von Art. 385 Abs. 1 StPO genügte und ob die Vorinstanz darauf sowie auf das Ausstandsgesuch zu Unrecht nicht eintrat. Der Beschwerdeführer setzt sich damit nicht auseinander. Aus seiner Beschwerde ergibt sich mithin nicht, inwiefern die Vorinstanz mit dem Nichteintretensbeschluss das geltende Recht im Sinne von Art. 95 BGG verletzt haben könnte.</w:t>
      </w:r>
    </w:p>
    <w:p>
      <w:r>
        <w:rPr>
          <w:b/>
        </w:rPr>
        <w:t>E. 5</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