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475/2016 vom 10. April 2017</w:t>
      </w:r>
    </w:p>
    <w:p>
      <w:r>
        <w:t>Bundesgericht, 2017-04-10, FR</w:t>
      </w:r>
    </w:p>
    <w:p>
      <w:r>
        <w:rPr>
          <w:b/>
        </w:rPr>
        <w:t xml:space="preserve">Quelle: </w:t>
      </w:r>
      <w:r>
        <w:t>https://mcp.opencaselaw.ch/entscheid/bger_6B_475_2016</w:t>
      </w:r>
    </w:p>
    <w:p>
      <w:r>
        <w:t>FR: TF 6B 475/2016 du 10 avril 2017</w:t>
      </w:r>
    </w:p>
    <w:p>
      <w:r>
        <w:t>IT: TF 6B 475/2016 del 10 aprile 2017</w:t>
      </w:r>
    </w:p>
    <w:p>
      <w:pPr>
        <w:pStyle w:val="Heading2"/>
      </w:pPr>
      <w:r>
        <w:t>Regeste</w:t>
      </w:r>
    </w:p>
    <w:p>
      <w:r>
        <w:t>Actes préparatoires de brigandage aggravé; arbitraire | Infractions</w:t>
      </w:r>
    </w:p>
    <w:p>
      <w:pPr>
        <w:pStyle w:val="Heading2"/>
      </w:pPr>
      <w:r>
        <w:t>Erwägungen</w:t>
      </w:r>
    </w:p>
    <w:p>
      <w:r>
        <w:rPr>
          <w:b/>
        </w:rPr>
        <w:t>E. 1</w:t>
      </w:r>
    </w:p>
    <w:p>
      <w:r>
        <w:t>Le recourant conteste sa condamnation du chef d'actes préparatoires de brigandage ( art. 260bis al. 1 let . d CP) fondée, selon lui, sur une appréciation arbitraire des preuves. Il invoque aussi la violation de la présomption d'innocence.</w:t>
      </w:r>
    </w:p>
    <w:p>
      <w:r>
        <w:rPr>
          <w:b/>
        </w:rPr>
        <w:t>E. 1.1</w:t>
      </w:r>
    </w:p>
    <w:p>
      <w:r>
        <w:t>Aux termes de l' art. 260bis CP ,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brigandage (al. 1 let. d).</w:t>
      </w:r>
    </w:p>
    <w:p>
      <w:r>
        <w:rPr>
          <w:b/>
        </w:rPr>
        <w:t>E. 1.2</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au sens de l' art. 9 Cst. Cette notion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 Le Tribunal fédéral n'examine la violation de droits fondamentaux que s'ils ont été invoqués et motivés de manière précise ( art. 106 al. 2 LTF ; ATF 142 III 364 consid. 2.4 p. 368). Les critiques de nature appellatoire sont irrecevables ( ATF 142 III 364 consid. 2.4 p. 368; 141 IV 249 consid. 1.3.1 p. 253).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6B_145/2016 du 23 novembre 2016 consid. 1.1; 6B_563/2014 du 10 juillet 2015 consid. 1.1).</w:t>
      </w:r>
    </w:p>
    <w:p>
      <w:r>
        <w:rPr>
          <w:b/>
        </w:rPr>
        <w:t>E. 2</w:t>
      </w:r>
    </w:p>
    <w:p>
      <w:r>
        <w:t>La cour cantonale a retenu, au vu de l'ensemble des circonstances, que le recourant et son comparse avaient sciemment pris toutes les dispositions pratiques en vue de commettre un vol avec violence au magasin B.________ de C.________, que l'arrivée inopinée des policiers avait empêché. Il y avait lieu de les reconnaître coupables d'actes préparatoires de brigandage, aggravé vu l'arme à feu dont ils disposaient pour accomplir leur forfait.</w:t>
      </w:r>
    </w:p>
    <w:p>
      <w:r>
        <w:rPr>
          <w:b/>
        </w:rPr>
        <w:t>E. 2.1</w:t>
      </w:r>
    </w:p>
    <w:p>
      <w:r>
        <w:t>De manière générale, le recourant ne conteste pas la matérialité des faits retenus par l'autorité cantonale, mais l'appréciation qu'elle en tire. Cependant, par sa critique, il tente d'imposer sa propre interprétation des preuves à celle retenue par la cour cantonale. En effet, il s'appuie sur des faits qui n'ont pas été constatés par le jugement entrepris et passe sous silence ceux qui ne vont pas dans son sens. Plus généralement, le recourant rediscute librement la quasi-totalité des éléments de preuve pris en considération par la cour cantonale. Une telle démarche, appellatoire, ne répond pas aux exigences de motivation déduites de l' art. 106 al. 2 LTF , ce qui rend irrecevables l'essentiel de ses griefs. On se limitera à répondre brièvement aux griefs qui n'apparaissent pas d'emblée irrecevables pour ce motif.</w:t>
      </w:r>
    </w:p>
    <w:p>
      <w:r>
        <w:rPr>
          <w:b/>
        </w:rPr>
        <w:t>E. 2.1.1</w:t>
      </w:r>
    </w:p>
    <w:p>
      <w:r>
        <w:t>Le recourant conteste avoir été l'homme observé en train de faire des repérages devant le magasin B.________ la veille des faits. Il ne conteste toutefois pas que sa présence a été repérée par l'activation d'une borne téléphonique située à environ 500 mètres du magasin. La borne a été activée à 19h56 et le témoin, qui a été intrigué par le manège d'un homme aux abords du magasin à l'heure de la fermeture, a appelé la police vers 20h00. La cour cantonale pouvait retenir sans arbitraire que le recourant se trouvait à proximité du magasin précisément à l'heure à laquelle le témoin avait observé l'individu qui faisait des repérages. Le recourant ne peut rien tirer en sa faveur de la présence d'autres bornes téléphoniques pour en déduire qu'il ne s'était pas approché du magasin, faute de tout élément indiquant que son téléphone était encore actif. Le fait que l'individu, observé par le témoin, soit monté sur la selle d'un scooter qui était stationné contre la vitre du magasin pour voir à l'intérieur et non sur son propre scooter est inapte à établir que ce n'était pas lui. Enfin, le jugement cantonal ne fait pas état d'un rapport de relevés d'empreintes digitales sur la vitre du magasin B.________. Aussi, l'affirmation du recourant qui prétend qu'aucune empreinte digitale n'a été retrouvée sur la vitre du magasin B.________ est dépourvue de pertinence.</w:t>
      </w:r>
    </w:p>
    <w:p>
      <w:r>
        <w:rPr>
          <w:b/>
        </w:rPr>
        <w:t>E. 2.1.2</w:t>
      </w:r>
    </w:p>
    <w:p>
      <w:r>
        <w:t>Le recourant conteste l'appréciation cantonale selon laquelle divers éléments factuels concernant son comportement et celui de son comparse lors de leur arrivée devant le magasin le 17 janvier 2014 constituaient des indices d'une planification d'un acte de brigandage et d'une préparation d'une éventuelle fuite, une fois le forfait commis. Il est établi que le recourant est arrivé avec son comparse devant l'enseigne du magasin au guidon d'un scooter acheté deux jours plus tôt au moyen d'un document falsifié, qu'il l'a parqué à proximité de la porte de sortie de secours du magasin avec l'arrière du véhicule contre la vitre du magasin et qu'il a dissimulé la plaque d'immatriculation d'origine en y apposant une plaque volée. La cour cantonale pouvait en conclure sans arbitraire que le scooter avait été parqué en un endroit et dans une position qui permettait aisément de prendre la fuite et que l'apposition d'une plaque d'immatriculation volée présentait l'intérêt de pouvoir immédiatement s'en débarrasser et ainsi continuer à utiliser le véhicule, un modèle relativement courant, de manière à ne pas éveiller les soupçons. Le recourant oppose, dans une démarche appellatoire et partant irrecevable, à l'appréciation cantonale sa propre appréciation de son comportement, en se fondant en partie sur des faits nouveaux irrecevables ( art. 99 al. 1 LTF ) dont l'arbitraire dans leur omission n'est pas alléguée. Il en va ainsi, par exemple, lorsqu'il prétend que l'achat du scooter deux jours plus tôt relève du hasard et démontre l'absence de plan, ou lorsqu'il explique que le véhicule était garé dans cette position parce qu'il était lourd et difficile à manoeuvrer et qu'il y avait une multitude d'autres d'autres véhicules garés qui rendait difficile l'accès au scooter et une potentielle fuite. Qu'il ait par le passé déjà recouru à sa fausse identité, comme il l'allègue, n'exclut pas de considérer qu'il a acheté le véhicule sous un faux nom pour ne pas être identifié par la suite. Il procède aussi de manière appellatoire lorsqu'il expose comment il aurait procédé s'il avait réellement voulu orchestrer un brigandage, en prenant d'autres mesures que celles décrites pour ne pas éveiller les soupçons par son comportement.</w:t>
      </w:r>
    </w:p>
    <w:p>
      <w:r>
        <w:rPr>
          <w:b/>
        </w:rPr>
        <w:t>E. 2.1.3</w:t>
      </w:r>
    </w:p>
    <w:p>
      <w:r>
        <w:t>Le recourant critique de manière tout aussi irrecevable l'appréciation cantonale selon laquelle son comportement et celui de son comparse tant à l'intérieur du magasin qu'à l'extérieur révélaient une intention délictuelle. Ce faisant, il ne conteste pas que l'attention d'un caissier a été attirée par ses va-et-vient devant la caisse au point que le témoin s'est demandé s'il ne procédait pas à un repérage des lieux en vue d'un " sale coup ". Le fait que le témoin n'ait rien remarqué d'autre de suspect dans le magasin est sans pertinence. Il est aussi établi que son comparse, à l'intérieur du magasin, était près de la sortie de secours avec un attirail propre à ligoter des victimes et qu'il avait gardé gants et bonnet. En objectant que les liens se trouvaient dans le sac pour attacher la plaque d'immatriculation, il substitue son appréciation à celle de la cour cantonale, qui a relevé que les COLSON étaient trop nombreux pour servir juste à fixer la plaque d'immatriculation volée. Enfin, il est constant qu'il a fourni au policier qui se trouvait à la sortie du magasin des indications propres à détourner son attention pour s'en aller sans être inquiété. Qu'il ait agi ainsi aussi pour se soustraire à la police pour les autres infractions qu'il avait commises au préalable ne rend pas insoutenable l'appréciation cantonale selon laquelle il voulait éviter un contrôle en lien avec les actes préparatoires de brigandage du magasin B.________.</w:t>
      </w:r>
    </w:p>
    <w:p>
      <w:r>
        <w:rPr>
          <w:b/>
        </w:rPr>
        <w:t>E. 2.1.4</w:t>
      </w:r>
    </w:p>
    <w:p>
      <w:r>
        <w:t>A cela s'ajoute que le recourant et son comparse détenaient dans le coffre du scooter une arme et un chargeur munitionné de plusieurs cartouches ainsi que des sachets contenant des COLSON. La cour cantonale a également constaté que le recourant, qui n'avait cessé de varier dans ses déclarations, n'avait fourni aucune raison plausible à sa présence dans le quartier le soir des faits.</w:t>
      </w:r>
    </w:p>
    <w:p>
      <w:r>
        <w:rPr>
          <w:b/>
        </w:rPr>
        <w:t>E. 2.2</w:t>
      </w:r>
    </w:p>
    <w:p>
      <w:r>
        <w:t>Sur le vu de ce qui précède, on ne saurait qualifier d'insoutenable l'appréciation globale des preuves qu'a fait la cour cantonale pour conclure à la culpabilité du recourant. Elle pouvait déduire de ce faisceau d'indices convergents que le recourant avait concrètement pris les dispositions pratiques en vue de commettre un brigandage. Une telle démarche ne procède pas d'un renversement inadmissible du fardeau de la preuve. Pour le surplus, le recourant ne formule aucun grief tiré de la violation de l' art. 260bis CP sur la base des faits retenus. Il n'y a pas lieu d'entrer en matière sur cet aspect. Il s'ensuit également que les conclusions du recourant en indemnisation tombent à faux.</w:t>
      </w:r>
    </w:p>
    <w:p>
      <w:r>
        <w:rPr>
          <w:b/>
        </w:rPr>
        <w:t>E. 3.1</w:t>
      </w:r>
    </w:p>
    <w:p>
      <w:r>
        <w:t>Le recourant se plaint de la fixation de la peine et considère qu'elle est excessive et disproportionnée. Il fait valoir qu'il ressort des témoignages de sa belle-mère et de son épouse qu'il a un profil positif que la cour cantonale a arbitrairement ignoré.</w:t>
      </w:r>
    </w:p>
    <w:p>
      <w:r>
        <w:rPr>
          <w:b/>
        </w:rPr>
        <w:t>E. 3.2</w:t>
      </w:r>
    </w:p>
    <w:p>
      <w:r>
        <w:t>Les règles générales régissant la fixation de la peine ( art. 47 CP ) ont été rappelées dans les arrêts publiés aux ATF 141 IV 61 et 136 IV 55 et 134 IV 17, auxquels il est renvoyé.</w:t>
      </w:r>
    </w:p>
    <w:p>
      <w:r>
        <w:rPr>
          <w:b/>
        </w:rPr>
        <w:t>E. 3.3</w:t>
      </w:r>
    </w:p>
    <w:p>
      <w:r>
        <w:t>La critique du recourant quant à la peine infligée est dépourvue de toute motivation consistante ( art. 42 al. 2 LTF ). Il n'expose pas en quoi la cour cantonale aurait violé le droit fédéral ou abusé de son pouvoir d'appréciation dans la fixation de la peine. En particulier, il ne motive pas pour quels motifs la cour cantonale aurait mal apprécié " son profil " en considérant qu'il avait adopté la délinquance comme mode de vie en considération des nombreuses infractions reprochées, commises à intervalles réguliers, et ses multiples et nombreux antécédents. La cour cantonale n'a au demeurant pas ignoré les témoignages de la belle-mère et de l'épouse du recourant, mais ne leur a pas accordé l'importance voulue par le recourant. Ce dernier n'émet pour le surplus aucune autre critique consistante sur la motivation relative à la peine. La solution de la cour cantonale ne prête pas flanc à la critique et il y est renvoyé ( art. 109 al. 3 LTF ).</w:t>
      </w:r>
    </w:p>
    <w:p>
      <w:r>
        <w:rPr>
          <w:b/>
        </w:rPr>
        <w:t>E. 4</w:t>
      </w:r>
    </w:p>
    <w:p>
      <w:r>
        <w:t>Au vu de ce qui précède, le recours doit être rejeté dans la faible mesure de sa recevabilité. Comme les conclusions du recours étaient dépourvues de chances de succès, l'assistance judiciaire ne peut être accordée ( art. 64 al. 1 LTF ). Par conséquent, le recourant, qui succombe, supportera les frais judiciaires ( art. 66 al. 1 LTF ), lesquels seront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