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474/2020 vom 15. Juni 2020</w:t>
      </w:r>
    </w:p>
    <w:p>
      <w:r>
        <w:t>Bundesgericht, 2020-06-15, DE</w:t>
      </w:r>
    </w:p>
    <w:p>
      <w:r>
        <w:rPr>
          <w:b/>
        </w:rPr>
        <w:t xml:space="preserve">Quelle: </w:t>
      </w:r>
      <w:r>
        <w:t>https://mcp.opencaselaw.ch/entscheid/bger_6B_474_2020</w:t>
      </w:r>
    </w:p>
    <w:p>
      <w:r>
        <w:t>FR: TF 6B 474/2020 du 15 juin 2020</w:t>
      </w:r>
    </w:p>
    <w:p>
      <w:r>
        <w:t>IT: TF 6B 474/2020 del 15 giugno 2020</w:t>
      </w:r>
    </w:p>
    <w:p>
      <w:pPr>
        <w:pStyle w:val="Heading2"/>
      </w:pPr>
      <w:r>
        <w:t>Regeste</w:t>
      </w:r>
    </w:p>
    <w:p>
      <w:r>
        <w:t>Drohung etc., Widerruf | Straftaten</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29. April 2020 Frist bis zum 14. Mai 2020 und mit Verfügung vom 25. Mai 2020 die gesetzlich vorgeschriebene Nachfrist bis zum 8. Juni 2020 angesetzt, um dem Bundesgericht einen Kostenvorschuss von Fr. 800.- zu leisten, unter Androhung, dass ansonsten auf das Rechtsmittel nicht eingetreten werde (vgl. Art. 62 Abs. 3 BGG ).</w:t>
      </w:r>
    </w:p>
    <w:p>
      <w:r>
        <w:rPr>
          <w:b/>
        </w:rPr>
        <w:t>E. 3</w:t>
      </w:r>
    </w:p>
    <w:p>
      <w:r>
        <w:t>Beide Verfügungen wurden mittels Gerichtsurkunde versandt und konnten zugestellt werden. Der Kostenvorschuss ging innert Nachfrist nicht ein, so dass auf die Beschwerde androhungsgemäss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