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6B_473/2024 vom 12. März 2025</w:t>
      </w:r>
    </w:p>
    <w:p>
      <w:r>
        <w:t>Bundesgericht, 2025-03-12, FR</w:t>
      </w:r>
    </w:p>
    <w:p>
      <w:r>
        <w:rPr>
          <w:b/>
        </w:rPr>
        <w:t xml:space="preserve">Quelle: </w:t>
      </w:r>
      <w:r>
        <w:t>https://mcp.opencaselaw.ch/entscheid/bger_6B_473_2024</w:t>
      </w:r>
    </w:p>
    <w:p>
      <w:r>
        <w:t>FR: TF 6B_473/2024 du 12 mars 2025</w:t>
      </w:r>
    </w:p>
    <w:p>
      <w:r>
        <w:t>IT: TF 6B_473/2024 del 12 marzo 2025</w:t>
      </w:r>
    </w:p>
    <w:p>
      <w:pPr>
        <w:pStyle w:val="Heading2"/>
      </w:pPr>
      <w:r>
        <w:t>Erwägungen</w:t>
      </w:r>
    </w:p>
    <w:p>
      <w:r>
        <w:rPr>
          <w:b/>
        </w:rPr>
        <w:t>E. 1</w:t>
      </w:r>
    </w:p>
    <w:p>
      <w:r>
        <w:t>Invoquant l'arbitraire dans l'appréciation des preuves et l'établissement des faits, ainsi qu'une violation du principe</w:t>
      </w:r>
    </w:p>
    <w:p>
      <w:r>
        <w:t>in dubio pro reo, le recourant conteste sa condamnation pour lésions corporelles par négligence ( art. 125 CP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3.1, 148 IV 409 consid. 2.2; 147 IV 73 consid. 4.1.2).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t>Dans une large mesure, le recourant se borne à porter en instance fédérale les griefs soulevés devant la cour cantonale et auxquels cette dernière a répondu de manière exhaustive et convaincante. L'argumentation proposée procède d'une vaste rediscussion des déclarations émises par les parties et témoins aux différents stades de la procédure. De tels moyens sont typiquement de nature appellatoire. Ils ne seront traités qu'autant qu'ils n'apparaissent pas d'emblée irrecevables pour cette raison (cf. art. 106 al. 2 LTF ). En tant que le recourant se fonde sur des éléments nouveaux qui ne ressortent pas de l'arrêt entrepris, ses développements sont également irrecevables (cf. art. 99 al. 1 LTF ).</w:t>
      </w:r>
    </w:p>
    <w:p>
      <w:r>
        <w:rPr>
          <w:b/>
        </w:rPr>
        <w:t>E. 1.2</w:t>
      </w:r>
    </w:p>
    <w:p>
      <w:r>
        <w:t>Aux termes de l' art. 125 CP , quiconque, par négligence, fait subir à une personne une atteinte à l'intégrité corporelle ou à la santé est, sur plainte, puni d'une peine privative de liberté de trois ans au plus ou d'une peine pécuniaire (al. 1). Si la lésion est grave, l'auteur est poursuivi d'office (al. 2).</w:t>
      </w:r>
    </w:p>
    <w:p>
      <w:r>
        <w:t>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 ATF 122 IV 17 consid. 2; cf. encore récemment arrêts 6B_1149/2023 du 7 août 2024 consid. 2.1; 6B_654/2023 du 5 janvier 2024 consid. 1.1.1).</w:t>
      </w:r>
    </w:p>
    <w:p>
      <w:r>
        <w:rPr>
          <w:b/>
        </w:rPr>
        <w:t>E. 1.2.1</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 6B_1149/2023 précité consid. 2.1.1).</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extraordinairement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1.2.2</w:t>
      </w:r>
    </w:p>
    <w:p>
      <w:r>
        <w:t>Selon l'art. 34 al. 3 de la loi sur la circulation routière (LCR; RS 741.01), le conducteur qui veut modifier sa direction de marche, par exemple pour obliquer, dépasser, se mettre en ordre de présélection ou passer d'une voie à l'autre, est tenu d'avoir égard aux usagers de la route qui viennent en sens inverse ainsi qu'aux véhicules qui le suivent. Cette règle s'applique à tout changement de direction, qu'il s'agisse d'obliquer à gauche ou à droite, à la hauteur ou en dehors d'une intersection ( ATF 91 IV 10 consid. 1; arrêt 6B_301/2024 du 5 novembre 2024).</w:t>
      </w:r>
    </w:p>
    <w:p>
      <w:r>
        <w:rPr>
          <w:b/>
        </w:rPr>
        <w:t>E. 1.3</w:t>
      </w:r>
    </w:p>
    <w:p>
      <w:r>
        <w:t>Le recourant conteste avoir commis un écart et, par conséquent, avoir violé son devoir de prudence.</w:t>
      </w:r>
    </w:p>
    <w:p>
      <w:r>
        <w:rPr>
          <w:b/>
        </w:rPr>
        <w:t>E. 1.3.1</w:t>
      </w:r>
    </w:p>
    <w:p>
      <w:r>
        <w:t>La cour cantonale a jugé que le recourant s'était déporté sur la gauche au moment où le motard, qui avait débuté une manoeuvre de dépassement, se trouvait au niveau de l'aile arrière gauche de son véhicule, le percutant et provoquant la chute de celui-ci et de sa passagère.</w:t>
      </w:r>
    </w:p>
    <w:p>
      <w:r>
        <w:t>La cour cantonale a notamment fondé son verdict de culpabilité sur la constance des déclarations du conducteur de la moto, de la passagère et épouse du conducteur de la moto et de la conductrice du véhicule qui précédait celui du recourant lors de l'accident, témoin des faits.</w:t>
      </w:r>
    </w:p>
    <w:p>
      <w:r>
        <w:t>Le conducteur de la moto a ainsi expliqué que durant la manoeuvre de dépassement du véhicule du recourant et de celui le précédant, alors qu'il avait atteint une vitesse d'environ 50 km/h et se trouvait au milieu de la voie de gauche à la hauteur de l'aile arrière de la voiture du recourant, ce dernier avait soudainement fait un écart sur la gauche, heurtant ainsi le côté droit de sa moto.</w:t>
      </w:r>
    </w:p>
    <w:p>
      <w:r>
        <w:t>Ces déclarations sont corroborées par celles de la passagère et du témoin, desquelles il ressort que le recourant roulait très proche de son véhicule, de manière nerveuse, et qu'il s'était soudainement déporté sur la gauche.</w:t>
      </w:r>
    </w:p>
    <w:p>
      <w:r>
        <w:t>La cour cantonale a jugé que les propos du recourant manquaient de crédibilité. À cet égard, elle a relevé qu'il avait persisté à contester les faits, indiquant que le motard, en le dépassant, l'avait touché, provoquant la chute du motocycle. Il a en particulier nié s'être déporté sur la voie de gauche, concédant que, s'il avait fait un écart, il n'avait toutefois pas été suffisant pour percuter la moto. Il a en outre indiqué que le véhicule qu'il conduisait possédait un système qui l'empêchait de franchir une ligne blanche et de se déporter sur la voie de gauche, à moins d'avoir enclenché le clignotant. Cette explication n'a jamais été démontrée par les éléments au dossier.</w:t>
      </w:r>
    </w:p>
    <w:p>
      <w:r>
        <w:t>La cour cantonale a conclu qu'il appartenait au recourant de s'assurer qu'aucun véhicule ne se trouvait derrière lui ou sur la voie de circulation opposée avant de débuter sa manoeuvre de dépassement, ce qu'il n'a pas fait. Elle a estimé qu'il n'avait pas regardé dans son rétroviseur gauche avant de procéder à la manoeuvre de dépassement pour s'assurer que la voie de circulation était libre. La cour cantonale a enfin considéré, qu'au vu de la virulente altercation verbale - admise par les parties - qui a précédé l'accident, le recourant aurait dû être d'autant plus prudent.</w:t>
      </w:r>
    </w:p>
    <w:p>
      <w:r>
        <w:rPr>
          <w:b/>
        </w:rPr>
        <w:t>E. 1.3.2</w:t>
      </w:r>
    </w:p>
    <w:p>
      <w:r>
        <w:t>Le raisonnement de la cour cantonale est convaincant. Lorsque le recourant indique qu'il n'y a eu ni écart de sa part, ni tentative de dépassement, qu'il explique que, s'il s'était réellement déporté, il y aurait eu obligatoirement une forte cinétique de percussion, que c'est le motocycle qui a mal évalué son dépassement et qui est passé trop près de lui et a touché son véhicule ou encore que, s'il avait voulu le dépasser, il l'aurait fait avant, il oppose sa propre appréciation à celle de la cour cantonale dans une démarche appellatoire, partant, irrecevable.</w:t>
      </w:r>
    </w:p>
    <w:p>
      <w:r>
        <w:t>Sur la base des faits retenus, qui lient la cour de céans et dont l'arbitraire n'a pas été démontré, il ressort de l'arrêt attaqué que le recourant a procédé à une manoeuvre de dépassement sans regarder sur la gauche. C'est donc à juste titre que la cour cantonale a retenu une négligence qui peut être qualifiée de fautive. Le recourant ne formule aucun grief recevable.</w:t>
      </w:r>
    </w:p>
    <w:p>
      <w:r>
        <w:rPr>
          <w:b/>
        </w:rPr>
        <w:t>E. 1.4</w:t>
      </w:r>
    </w:p>
    <w:p>
      <w:r>
        <w:t>Le recourant reproche à la cour cantonale de ne pas avoir pris en considération le fait que le conducteur de la moto, qui avait entrepris un dépassement inattendu, insensé et téméraire, avait lui même violé plusieurs règles de la circulation routière (art. 26, 32, 33, 34 et 35 LCR) et ce, d'une manière à rompre tout lien de causalité adéquate entre le comportement qui lui est reproché et les lésions subies par la victime.</w:t>
      </w:r>
    </w:p>
    <w:p>
      <w:r>
        <w:t>Il ressort de l'arrêt attaqué que le recourant a procédé à un changement de voie de circulation sans prendre toutes les mesures imposées par la prudence. C'est à raison que la cour cantonale a estimé qu'il avait commis une négligence. Le conducteur de la moto, en effectuant son dépassement, pouvait s'attendre à ce que les autres usagers de la route respectent les mesures de prudence imposées par les circonstances, à savoir, dans le cas d'espèce, un "RTI" (Rétroviseur, Tête, Indicateur), avant d'enclencher une manoeuvre, pour vérifier que la voie de circulation opposée était libre, et n'avait pas à compter avec une violation de celles-là. Le recourant devait s'attendre à ce qu'un véhicule puisse le dépasser. Cette manoeuvre n'avait rien d'exceptionnel ou d'extraordinaire. Dès lors, ni une éventuelle vitesse excessive ni un éventuel dépassement dangereux ne permettaient de reléguer à l'arrière-plan le comportement du recourant.</w:t>
      </w:r>
    </w:p>
    <w:p>
      <w:r>
        <w:t>Par ailleurs, l'argumentation du recourant tirée du comportement du motocycliste est irrecevable faute de reposer sur des faits établis. Pour le surplus, elle est irrecevable car de nature appellatoire. En effet, le recourant présente à nouveau sa propre appréciation des faits sans démontrer que ceux retenus par la cour cantonale seraient arbitraires.</w:t>
      </w:r>
    </w:p>
    <w:p>
      <w:r>
        <w:rPr>
          <w:b/>
        </w:rPr>
        <w:t>E. 1.5</w:t>
      </w:r>
    </w:p>
    <w:p>
      <w:r>
        <w:t>Au vu de ce qui précède, la cour cantonale n'a pas violé le droit fédéral en estimant que le comportement du recourant, qui a effectué une manoeuvre sans prendre toutes les mesures nécessaires imposées par les circonstances, en violation de son devoir de prudence découlant des règles de la circulation routière, constituait la cause la plus probable et la plus immédiate de la collision avec la victime.</w:t>
      </w:r>
    </w:p>
    <w:p>
      <w:r>
        <w:t>Le recourant ne contestant pas, au surplus, que les blessures subies par la victime sont des conséquences de cette collision, sa condamnation pour lésions corporelles par négligence ( art. 125 al. 1 CP ) ne prête pas flanc à la critique.</w:t>
      </w:r>
    </w:p>
    <w:p>
      <w:r>
        <w:rPr>
          <w:b/>
        </w:rPr>
        <w:t>E. 2</w:t>
      </w:r>
    </w:p>
    <w:p>
      <w:r>
        <w:t>Le grief soulevé par le recourant en lien avec la violation de l' art. 429 CPP étant fondé sur les prémisses de l'admission de son grief précédent qu'il n'obtient pas (cf.</w:t>
      </w:r>
    </w:p>
    <w:p>
      <w:r>
        <w:t>supra consid. 1), il est sans objet.</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