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6B_472/2016 vom 24. Mai 2016</w:t>
      </w:r>
    </w:p>
    <w:p>
      <w:r>
        <w:t>Bundesgericht, 2016-05-24, DE</w:t>
      </w:r>
    </w:p>
    <w:p>
      <w:r>
        <w:rPr>
          <w:b/>
        </w:rPr>
        <w:t xml:space="preserve">Quelle: </w:t>
      </w:r>
      <w:r>
        <w:t>https://mcp.opencaselaw.ch/entscheid/bger_6B_472_2016</w:t>
      </w:r>
    </w:p>
    <w:p>
      <w:r>
        <w:t>FR: TF 6B_472/2016 du 24 mai 2016</w:t>
      </w:r>
    </w:p>
    <w:p>
      <w:r>
        <w:t>IT: TF 6B_472/2016 del 24 maggio 2016</w:t>
      </w:r>
    </w:p>
    <w:p>
      <w:pPr>
        <w:pStyle w:val="Heading2"/>
      </w:pPr>
      <w:r>
        <w:t>Erwägungen</w:t>
      </w:r>
    </w:p>
    <w:p>
      <w:r>
        <w:rPr>
          <w:b/>
        </w:rPr>
        <w:t>E. 1</w:t>
      </w:r>
    </w:p>
    <w:p>
      <w:r>
        <w:t>Der Beschwerdeführer erstattete am 24. Dezember 2015 bei der Polizei in Luzern eine Anzeige wegen Verleumdung. Er sei in einem Schreiben an eine Versicherung als straffällig bezeichnet worden.</w:t>
      </w:r>
    </w:p>
    <w:p>
      <w:r>
        <w:t>Die Staatsanwaltschaft Luzern nahm das Verfahren am 22. Januar 2016 nicht an die Hand. Eine dagegen gerichtete Beschwerde wies das Kantonsgericht Luzern am 17. März 2016 ab.</w:t>
      </w:r>
    </w:p>
    <w:p>
      <w:r>
        <w:t>Der Beschwerdeführer wendet sich ans Bundesgericht und beantragt, der fragliche Arzt sei wegen Verleumdung zu bestrafen.</w:t>
      </w:r>
    </w:p>
    <w:p>
      <w:r>
        <w:rPr>
          <w:b/>
        </w:rPr>
        <w:t>E. 2</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Zivilansprüche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Diese Rechtsprechung gilt auch bei Ehrverletzungsdelikten (vgl. Urteil 6B_94/2013 vom 3. Oktober 2013 E. 1.1).</w:t>
      </w:r>
    </w:p>
    <w:p>
      <w:r>
        <w:t>Der Beschwerdeführer äussert sich vor Bundesgericht zur Frage der Legitimation und zu einer allfälligen Zivilforderung nicht. Eine solche stellte er gemäss angefochtenem Beschluss auch im kantonalen Verfahren nicht. Er ist folglich zur Beschwerde nicht legitimiert.</w:t>
      </w:r>
    </w:p>
    <w:p>
      <w:r>
        <w:rPr>
          <w:b/>
        </w:rPr>
        <w:t>E. 3</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Soweit eine Rüge zulässig ist, ist klar und detailliert darzulegen, inwieweit das angerufene Recht verletzt worden sein soll ( Art. 106 Abs. 2 BGG ).</w:t>
      </w:r>
    </w:p>
    <w:p>
      <w:r>
        <w:t>Soweit der Beschwerdeführer eine Verletzung seines Anspruchs auf rechtliches Gehör rügt, genügt seine Eingabe den Anforderungen nicht. So bezieht er sich z.B. in diesem Zusammenhang auf Punkt 6 des angefochtenen Beschlusses (Beschwerde S. 2 oben). In diesem Punkt führt die Vorinstanz jedoch nur aus, es seien keine Stellungnahmen eingeholt worden (Beschluss S. 2 unten). Folglich ist von vornherein nicht ersichtlich, inwieweit dem Beschwerdeführer das rechtliche Gehör verletzt worden sein könnte.</w:t>
      </w:r>
    </w:p>
    <w:p>
      <w:r>
        <w:rPr>
          <w:b/>
        </w:rPr>
        <w:t>E. 4</w:t>
      </w:r>
    </w:p>
    <w:p>
      <w:r>
        <w:t>Auf die Beschwerde ist im Verfahren nach Art. 108 BGG nicht einzutreten.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