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6B_472/2015 vom 1. Oktober 2015</w:t>
      </w:r>
    </w:p>
    <w:p>
      <w:r>
        <w:t>Bundesgericht, 2015-10-01, FR</w:t>
      </w:r>
    </w:p>
    <w:p>
      <w:r>
        <w:rPr>
          <w:b/>
        </w:rPr>
        <w:t xml:space="preserve">Quelle: </w:t>
      </w:r>
      <w:r>
        <w:t>https://mcp.opencaselaw.ch/entscheid/bger_6B_472_2015</w:t>
      </w:r>
    </w:p>
    <w:p>
      <w:r>
        <w:t>FR: TF 6B_472/2015 du 1 octobre 2015</w:t>
      </w:r>
    </w:p>
    <w:p>
      <w:r>
        <w:t>IT: TF 6B_472/2015 del 1 ottobre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Lorsque la partie plaignante invoque des infractions distinctes, elle doit mentionner par rapport à chacune d'elles en quoi consiste ses prétentions (arrêt 6B_914/2013 du 27 février 2014 consid. 1.2).</w:t>
      </w:r>
    </w:p>
    <w:p>
      <w:r>
        <w:rPr>
          <w:b/>
        </w:rPr>
        <w:t>E. 1.2</w:t>
      </w:r>
    </w:p>
    <w:p>
      <w:r>
        <w:t>En l'occurrence, la recourante prétend à l'obtention d'une indemnité pour tort moral d'au moins 15'000 francs.</w:t>
      </w:r>
    </w:p>
    <w:p>
      <w:r>
        <w:t>Cependant, elle ne donne aucune indication à ce propos, notamment sur les éventuelles souffrances ressenties à la suite des éventuels actes reprochés aux intimées. De telles souffrances ne découlent pas non plus d'emblée et sans ambiguïté des infractions dénoncées (lésions corporelles simples, contrainte, injure), notamment au regard du rôle secondaire qu'auraient tenu les intimées pour le premier des chefs de prévention susmentionnés (complicité). Dans la mesure où la recourante demandait 15'000 fr. de tort moral à l'encontre des intimées, ainsi que de A.________ (cf. son écriture du 21 novembre 2014) et que l'ordonnance pénale rendue contre cette dernière a renvoyé la recourante à agir devant le juge civil, elle ne rend nullement plausible une telle prétention à l'encontre des seules intimées, pas plus qu'elle ne spécifie quelles prétentions elle invoquerait à l'encontre de chacune d'elles. A défaut de toute explication dans son mémoire de recours, la recourante ne remplit pas les exigences minimales posées à l' art. 42 LTF . Sa qualité pour recourir sur le fond doit par conséquent lui être déniée.</w:t>
      </w:r>
    </w:p>
    <w:p>
      <w:r>
        <w:rPr>
          <w:b/>
        </w:rPr>
        <w:t>E. 2</w:t>
      </w:r>
    </w:p>
    <w:p>
      <w:r>
        <w:t>Indépendamment des conditions posées par l'art. 81 al. 1 let. a et b ch. 5 et ch. 6 LTF - cette deuxième hypothèse n'entrant pas en considération en l'espèce -, la partie recourante est aussi habilitée à se plaindre d'une violation de ses droits de partie équivalant à un déni de justice formel; elle ne peut toutefois faire valoir par ce biais, même indirectement, des moyens qui ne peuvent être séparés du fond ( ATF 141 IV 1 consid. 1.1 p. 5).</w:t>
      </w:r>
    </w:p>
    <w:p>
      <w:r>
        <w:t>En l'occurrence, la recourante se plaint d'une violation de son droit d'être entendue. A cet égard, elle reproche à l'autorité précédente d'avoir confirmé le refus du Ministère public de procéder à une confrontation du témoin D.________ aux intimées. Ce faisant, la recourante se prévaut de ce droit en raison de la suite donnée à sa réquisition de preuve afin de pouvoir étayer sa propre version des faits. Ces griefs étant dès lors indissociables de la cause au fond, ils sont irrecevables.</w:t>
      </w:r>
    </w:p>
    <w:p>
      <w:r>
        <w:rPr>
          <w:b/>
        </w:rPr>
        <w:t>E. 3</w:t>
      </w:r>
    </w:p>
    <w:p>
      <w:r>
        <w:t>Sur le vu de ce qui précède, le recours doit être déclaré irrecevable selon la procédure simplifiée prévue par l' art. 108 al. 1 let. a LTF .</w:t>
      </w:r>
    </w:p>
    <w:p>
      <w:r>
        <w:t>La recourante a sollicité l'octroi de l'assistance judiciaire ( art. 64 LTF ). Dès lors que son recours était d'emblée dénué de chances de succès, cette requête doit être rejetée. Néanmoins, eu égard à sa situation financière, des frais judiciaires réduits seront perçus ( art. 66 al. 1 LTF ). Il n'est pas alloué de dépens ( art. 68 al. 1 et 3 LTF ), les intimées n'ayant notamment pas été invitées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