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6B_46/2013 vom 13. Februar 2013</w:t>
      </w:r>
    </w:p>
    <w:p>
      <w:r>
        <w:t>Bundesgericht, 2013-02-13, DE</w:t>
      </w:r>
    </w:p>
    <w:p>
      <w:r>
        <w:rPr>
          <w:b/>
        </w:rPr>
        <w:t xml:space="preserve">Quelle: </w:t>
      </w:r>
      <w:r>
        <w:t>https://mcp.opencaselaw.ch/entscheid/bger_6B_46_2013</w:t>
      </w:r>
    </w:p>
    <w:p>
      <w:r>
        <w:t>FR: TF 6B_46/2013 du 13 février 2013</w:t>
      </w:r>
    </w:p>
    <w:p>
      <w:r>
        <w:t>IT: TF 6B_46/2013 del 13 febbraio 2013</w:t>
      </w:r>
    </w:p>
    <w:p>
      <w:pPr>
        <w:pStyle w:val="Heading2"/>
      </w:pPr>
      <w:r>
        <w:t>Erwägungen</w:t>
      </w:r>
    </w:p>
    <w:p>
      <w:r>
        <w:rPr>
          <w:b/>
        </w:rPr>
        <w:t>E. 1</w:t>
      </w:r>
    </w:p>
    <w:p>
      <w:r>
        <w:t>Der Beschwerdeführer wendet sich dagegen, dass das Kantonsgericht Basel-Landschaft am 19. Dezember 2012 ein nachträglich gestelltes Gesuch um Erlass früher auferlegter Kosten abgewiesen hat. Er macht geltend, mit seiner kleinen Rente in Höhe von Fr. 2'081.-- sei er nicht in der Lage, die Kosten zu bezahlen. Dies hat die Vorinstanz nicht übersehen. Sie stellt jedoch fest, dass der Beschwerdeführer durch Aufnahme einer Erwerbstätigkeit und die Reduktion der Wohnungskosten einen monatlichen Überschuss erzielen könnte, welcher es erlaube, die ausstehenden Kosten zumindest ratenweise zu bezahlen (angefochtener Entscheid S. 2 E. 2.2). Inwieweit diese massgebliche Erwägung der Vorinstanz seiner Ansicht nach gegen das Recht verstossen und zum Beispiel willkürlich sein könnte, sagt der Beschwerdeführer nicht. Die Beschwerde erfüllt die Begründungsanforderungen von Art. 42 Abs. 2 BGG nicht. Darauf ist im Verfahren nach Art. 108 BGG nicht einzutreten.</w:t>
      </w:r>
    </w:p>
    <w:p>
      <w:r>
        <w:rPr>
          <w:b/>
        </w:rPr>
        <w:t>E. 2</w:t>
      </w:r>
    </w:p>
    <w:p>
      <w:r>
        <w:t>Die Gerichtskosten sind dem Beschwerdeführer aufzuerlegen ( Art. 66 Abs. 1 BGG ). Seiner finanziellen Lage ist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