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6B_469/2020 vom 20. Mai 2020</w:t>
      </w:r>
    </w:p>
    <w:p>
      <w:r>
        <w:t>Bundesgericht, 2020-05-20, DE</w:t>
      </w:r>
    </w:p>
    <w:p>
      <w:r>
        <w:rPr>
          <w:b/>
        </w:rPr>
        <w:t xml:space="preserve">Quelle: </w:t>
      </w:r>
      <w:r>
        <w:t>https://mcp.opencaselaw.ch/entscheid/bger_6B_469_2020</w:t>
      </w:r>
    </w:p>
    <w:p>
      <w:r>
        <w:t>FR: TF 6B_469/2020 du 20 mai 2020</w:t>
      </w:r>
    </w:p>
    <w:p>
      <w:r>
        <w:t>IT: TF 6B_469/2020 del 20 maggio 2020</w:t>
      </w:r>
    </w:p>
    <w:p>
      <w:pPr>
        <w:pStyle w:val="Heading2"/>
      </w:pPr>
      <w:r>
        <w:t>Erwägungen</w:t>
      </w:r>
    </w:p>
    <w:p>
      <w:r>
        <w:rPr>
          <w:b/>
        </w:rPr>
        <w:t>E. 1</w:t>
      </w:r>
    </w:p>
    <w:p>
      <w:r>
        <w:t>Der Beschwerdeführer erhob am 10. Dezember 2019 Strafanzeige gegen das Justiz- und Sicherheitsdepartement (JSD) des Kantons Basel-Stadt, das universitäre Zentrum für Zahnmedizin und das Zentrum für Bilddiagnostik wegen Körperverletzung und Bildmanipulation. Die Staatsanwaltschaft des Kantons Basel-Stadt nahm daraufhin eine Strafuntersuchung am 13. Februar 2020 nicht an die Hand. Eine dagegen gerichtete Beschwerde wies das Appellationsgericht des Kantons Basel mit Entscheid vom 25. März 2020 ab.</w:t>
      </w:r>
    </w:p>
    <w:p>
      <w:r>
        <w:t>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3</w:t>
      </w:r>
    </w:p>
    <w:p>
      <w:r>
        <w:t>Der Beschwerdeführer setzt sich nicht mit den vorinstanzlichen Erwägungen auseinander, sondern schildert vor Bundesgericht einzig, von welchem Sachverhalt auszugehen ist und welche rechtlichen Konsequenzen sich daraus ergeben sollen. Er legt nicht dar, inwiefern der vorinstanzliche Entscheid gegen das Recht im Sinne von Art. 95 BGG verstossen könnte. Zudem unterlässt er es, sich zur Legitimation und zur Frage der Zivilforderungen zu äussern. Um welche Zivilforderungen es konkret gehen könnte und inwiefern sich der angefochtene Entscheid darauf auswirken könnte, ergibt sich auch nicht ohne Weiteres aus den Akten und dem angezeigten Deliktssachverhalt. Insbesondere ist auch nicht ersichtlich, dass und weshalb allfällige Ansprüche überhaupt zivilrechtlicher Natur und - angesichts der Adressaten der Strafanzeige - nicht vielmehr öffentlich-rechtlicher Natur sein sollten. Die Beschwerde genügt den Begründungsanforderungen nicht. Der Begründungsmangel ist offensichtlich. Auf die Beschwerde ist im Verfahren nach Art. 108 BGG nicht einzutreten.</w:t>
      </w:r>
    </w:p>
    <w:p>
      <w:r>
        <w:rPr>
          <w:b/>
        </w:rPr>
        <w:t>E. 4</w:t>
      </w:r>
    </w:p>
    <w:p>
      <w:r>
        <w:t>Ausnahmsweise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