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6B_467/2020 vom 12. Juni 2020</w:t>
      </w:r>
    </w:p>
    <w:p>
      <w:r>
        <w:t>Bundesgericht, 2020-06-12, DE</w:t>
      </w:r>
    </w:p>
    <w:p>
      <w:r>
        <w:rPr>
          <w:b/>
        </w:rPr>
        <w:t xml:space="preserve">Quelle: </w:t>
      </w:r>
      <w:r>
        <w:t>https://mcp.opencaselaw.ch/entscheid/bger_6B_467_2020</w:t>
      </w:r>
    </w:p>
    <w:p>
      <w:r>
        <w:t>FR: TF 6B_467/2020 du 12 juin 2020</w:t>
      </w:r>
    </w:p>
    <w:p>
      <w:r>
        <w:t>IT: TF 6B_467/2020 del 12 giugno 2020</w:t>
      </w:r>
    </w:p>
    <w:p>
      <w:pPr>
        <w:pStyle w:val="Heading2"/>
      </w:pPr>
      <w:r>
        <w:t>Erwägungen</w:t>
      </w:r>
    </w:p>
    <w:p>
      <w:r>
        <w:rPr>
          <w:b/>
        </w:rPr>
        <w:t>E. 1</w:t>
      </w:r>
    </w:p>
    <w:p>
      <w:r>
        <w:t>Der Beschwerdeführer erhob am 27. Dezember 2019 gegen die Nichtanhandnahmeverfügung der Staatsanwaltschaft Baden vom 17. Dezember 2019 Beschwerde. Das Obergericht des Kantons Aargau forderte ihn mit Verfügung vom 14. Januar 2020 auf, eine Sicherheit zu leisten. Das von ihm gestellte Gesuch um unentgeltliche Rechtspflege wies das Obergericht mit Verfügung vom 29. Januar 2020 ab. Auf eine dagegen gerichtete Beschwerde trat das Bundesgericht nicht ein (Urteil 1B_88/2020). Mit Verfügung vom 29. Januar 2020 wurde der Beschwerdeführer nochmals zur Leistung der Sicherheit aufgefordert, ansonsten auf die Beschwerde nicht eingetreten werde. Am 19. Februar 2020 trat das Obergericht des Kantons Aargau infolge Nichtleistung der Sicherheit androhungsgemäss auf die Beschwerde nicht ein.</w:t>
      </w:r>
    </w:p>
    <w:p>
      <w:r>
        <w:t>Der Beschwerdeführer wendet sich mit Beschwerde an das Bundesgericht. Der Nachtrag vom 10. Juni 2020 (Poststempel) ist unbeachtlich, da er erst nach Ablauf der Beschwerdefrist eingereicht wurde ( Art. 100 Abs. 1 BGG ).</w:t>
      </w:r>
    </w:p>
    <w:p>
      <w:r>
        <w:rPr>
          <w:b/>
        </w:rPr>
        <w:t>E. 2</w:t>
      </w:r>
    </w:p>
    <w:p>
      <w:r>
        <w:t>Nach Art. 42 Abs. 2 BGG ist in der Begründung der Beschwerde an das Bundesgericht in gedrängter Form darzulegen, inwiefern der angefochtene Entscheid Recht verletzt.</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Angefochten ist ein Nichteintretensentscheid zufolge Nichtbezahlens der Sicherheitsleistung im Sinne von Art. 383 StPO . Gegenstand des vorliegenden Verfahrens bildet einzig die Frage, ob die Vorinstanz die Behandlung der Beschwerde von der Bezahlung einer Sicherheitsleistung im Sinne von Art. 383 StPO abhängig machen durfte. Damit setzt sich der Beschwerdeführer nicht auseinander. Weshalb der angefochtene Entscheid mit dem Urteil des Bundesgerichts 1B_88/2020 vom 25. Februar 2020 "im offenen Widerspruch" stehen sollte, erschliesst sich nicht. Aus der Beschwerde ergibt sich mithin nicht, inwiefern die Vorinstanz mit dem angefochtenen Entscheid gegen geltendes Recht im Sinne von Art. 95 BGG verstossen haben könnte ( Art. 42 Abs. 2 BGG ). Darauf ist mangels einer tauglichen Begründung im Verfahren nach Art. 108 BGG nicht einzutreten.</w:t>
      </w:r>
    </w:p>
    <w:p>
      <w:r>
        <w:rPr>
          <w:b/>
        </w:rPr>
        <w:t>E. 4</w:t>
      </w:r>
    </w:p>
    <w:p>
      <w:r>
        <w:t>Bei diesem Ausgang des Verfahrens trägt der Beschwerdeführer die Gerichtskosten ( Art. 66 Abs. 1 BGG ). Das sinngemässe Gesuch um unentgeltliche Rechtspflege ist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