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6B_465/2021 vom 20. Mai 2021</w:t>
      </w:r>
    </w:p>
    <w:p>
      <w:r>
        <w:t>Bundesgericht, 2021-05-20, DE</w:t>
      </w:r>
    </w:p>
    <w:p>
      <w:r>
        <w:rPr>
          <w:b/>
        </w:rPr>
        <w:t xml:space="preserve">Quelle: </w:t>
      </w:r>
      <w:r>
        <w:t>https://mcp.opencaselaw.ch/entscheid/bger_6B_465_2021</w:t>
      </w:r>
    </w:p>
    <w:p>
      <w:r>
        <w:t>FR: TF 6B_465/2021 du 20 mai 2021</w:t>
      </w:r>
    </w:p>
    <w:p>
      <w:r>
        <w:t>IT: TF 6B_465/2021 del 20 maggio 2021</w:t>
      </w:r>
    </w:p>
    <w:p>
      <w:pPr>
        <w:pStyle w:val="Heading2"/>
      </w:pPr>
      <w:r>
        <w:t>Erwägungen</w:t>
      </w:r>
    </w:p>
    <w:p>
      <w:r>
        <w:rPr>
          <w:b/>
        </w:rPr>
        <w:t>E. 1</w:t>
      </w:r>
    </w:p>
    <w:p>
      <w:r>
        <w:t>Am 1. April 2021 trat das Obergericht des Kantons Zürich auf eine Berufung nicht ein, weil der Beschwerdeführer innert Frist keine Berufungserklärung eingereicht hatte (Beschluss, S. 2). Vor Bundesgericht befasst sich der Beschwerdeführer ausschliesslich mit den ihm angeblich entstandenen Kosten aus Einvernahmen durch das Statthalteramt und verlangt eine Genugtuung bzw. Entschädigung, was indessen nicht zum Gegenstand des Verfahrens gehört und wozu sich das Bundesgericht folglich nicht aussprechen kann. Zum formellen Grund, aus welchem die Vorinstanz auf sein kantonales Rechtsmittel nicht eintreten konnte, äussert sich der Beschwerdeführer nicht. Seine Beschwerdeeingabe genügt den Begründungsanforderungen von Art. 42 Abs. 2 BGG nicht. Der Begründungsmangel ist offensichtlich. Auf die Beschwerde ist im Verfahren nach Art. 108 BGG nicht einzutreten.</w:t>
      </w:r>
    </w:p>
    <w:p>
      <w:r>
        <w:rPr>
          <w:b/>
        </w:rPr>
        <w:t>E. 2</w:t>
      </w:r>
    </w:p>
    <w:p>
      <w:r>
        <w:t>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