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6B_465/2020 vom 19. Mai 2020</w:t>
      </w:r>
    </w:p>
    <w:p>
      <w:r>
        <w:t>Bundesgericht, 2020-05-19, FR</w:t>
      </w:r>
    </w:p>
    <w:p>
      <w:r>
        <w:rPr>
          <w:b/>
        </w:rPr>
        <w:t xml:space="preserve">Quelle: </w:t>
      </w:r>
      <w:r>
        <w:t>https://mcp.opencaselaw.ch/entscheid/bger_6B_465_2020</w:t>
      </w:r>
    </w:p>
    <w:p>
      <w:r>
        <w:t>FR: TF 6B_465/2020 du 19 mai 2020</w:t>
      </w:r>
    </w:p>
    <w:p>
      <w:r>
        <w:t>IT: TF 6B_465/2020 del 19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exécute actuellement une peine privative de liberté à la prison de Champ-Dollon.</w:t>
      </w:r>
    </w:p>
    <w:p>
      <w:r>
        <w:t>Le 20 janvier 2020, à la suite d'une altercation avec un co-détenu, le prénommé s'est vu signifier une sanction de deux jours de cellule forte, pour violence physique exercée sur un détenu.</w:t>
      </w:r>
    </w:p>
    <w:p>
      <w:r>
        <w:t>Par arrêt du 31 mars 2020, la Chambre administrative de la Cour de justice de la République et canton de Genève a rejeté le recours formé par A.________ contre la décision du 20 janvier 2020.</w:t>
      </w:r>
    </w:p>
    <w:p>
      <w:r>
        <w:t>A.________ forme un recours en matière pénale au Tribunal fédéral contre l'arrêt du 31 mars 2020.</w:t>
      </w:r>
    </w:p>
    <w:p>
      <w:r>
        <w:rPr>
          <w:b/>
        </w:rPr>
        <w:t>E. 2</w:t>
      </w:r>
    </w:p>
    <w:p>
      <w:r>
        <w:t>Aux termes de l' art. 78 al. 2 let. b LTF , sont notamment sujettes au recours en matière pénale les décisions sur l'exécution de peines et de mesures.</w:t>
      </w:r>
    </w:p>
    <w:p>
      <w:r>
        <w:rPr>
          <w:b/>
        </w:rPr>
        <w:t>E. 3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c'est en vain que l'on cherche, dans l'écriture du recourant, des conclusions formelles ou un grief topique propre à démontrer que la cour cantonale aurait pu violer le droit.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4</w:t>
      </w:r>
    </w:p>
    <w:p>
      <w:r>
        <w:t>Le recours doit être déclaré irrecevable. Le recourant, qui succombe, supporte les frais judiciaires ( art. 66 al. 1 LTF ), fixés en tenant compte de sa situation.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