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463/2020 vom 22. Juli 2020</w:t>
      </w:r>
    </w:p>
    <w:p>
      <w:r>
        <w:t>Bundesgericht, 2020-07-22, DE</w:t>
      </w:r>
    </w:p>
    <w:p>
      <w:r>
        <w:rPr>
          <w:b/>
        </w:rPr>
        <w:t xml:space="preserve">Quelle: </w:t>
      </w:r>
      <w:r>
        <w:t>https://mcp.opencaselaw.ch/entscheid/bger_6B_463_2020</w:t>
      </w:r>
    </w:p>
    <w:p>
      <w:r>
        <w:t>FR: TF 6B 463/2020 du 22 juillet 2020</w:t>
      </w:r>
    </w:p>
    <w:p>
      <w:r>
        <w:t>IT: TF 6B 463/2020 del 22 luglio 2020</w:t>
      </w:r>
    </w:p>
    <w:p>
      <w:pPr>
        <w:pStyle w:val="Heading2"/>
      </w:pPr>
      <w:r>
        <w:t>Regeste</w:t>
      </w:r>
    </w:p>
    <w:p>
      <w:r>
        <w:t>Nichtanhandnahme, Nichtleisten der Prozesskaution; Nichteintreten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trat am 27. Januar 2020 auf eine Beschwerde nicht ein, weil diese den Begründungsanforderungen nicht genügte ( Art. 396 Abs. 1 StPO ) und innert Nachfrist keine verbesserte Beschwerdeschrift einging ( Art. 385 Abs. 2 StPO ) und zudem die Prozesskaution nicht geleistet wurde. Zu diesen Fragen äussert sich die Beschwerdeführerin in ihrer von der Vorinstanz an das Bundesgericht übermittelten Beschwerde nicht ( Art. 42 Abs. 2 BGG ). Auf die Beschwerde ist demnach mangels tauglicher Begründung im Verfahren nach Art. 108 BGG nicht einzutreten.</w:t>
      </w:r>
    </w:p>
    <w:p>
      <w:r>
        <w:rPr>
          <w:b/>
        </w:rPr>
        <w:t>E. 2</w:t>
      </w:r>
    </w:p>
    <w:p>
      <w:r>
        <w:t>Ausnahmsweise kann auf eine Kostenauflage verzichtet werden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