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6B_45/2015 vom 23. Februar 2015</w:t>
      </w:r>
    </w:p>
    <w:p>
      <w:r>
        <w:t>Bundesgericht, 2015-02-23, FR</w:t>
      </w:r>
    </w:p>
    <w:p>
      <w:r>
        <w:rPr>
          <w:b/>
        </w:rPr>
        <w:t xml:space="preserve">Quelle: </w:t>
      </w:r>
      <w:r>
        <w:t>https://mcp.opencaselaw.ch/entscheid/bger_6B_45_2015</w:t>
      </w:r>
    </w:p>
    <w:p>
      <w:r>
        <w:t>FR: TF 6B_45/2015 du 23 février 2015</w:t>
      </w:r>
    </w:p>
    <w:p>
      <w:r>
        <w:t>IT: TF 6B_45/2015 del 23 febbraio 2015</w:t>
      </w:r>
    </w:p>
    <w:p>
      <w:pPr>
        <w:pStyle w:val="Heading2"/>
      </w:pPr>
      <w:r>
        <w:t>Erwägungen</w:t>
      </w:r>
    </w:p>
    <w:p>
      <w:r>
        <w:rPr>
          <w:b/>
        </w:rPr>
        <w:t>E. 1</w:t>
      </w:r>
    </w:p>
    <w:p>
      <w:r>
        <w:t>Par arrêt du 27 octobre 2014, la Chambre des recours pénale du Tribunal cantonal vaudois a rejeté le recours de Y.________ et confirmé l'ordonnance de non-entrée en matière rendue le 12 août 2014 sur sa plainte du 7 août 2014 contre une personne morale « X » à laquelle il reproche d'avoir pris des contacts « suspects » avec deux personnes physiques « X » et « Z », les trois sujets ayant compromis la régularité d'une procédure le concernant devant la Cour européenne des droits de l'Homme. La juridiction cantonale a considéré, en bref, que la plainte du 7 août 2014 n'était pas valable et que ni le contenu de celle-ci ni celui des écritures déposées en procédure de recours ne permettaient de soupçonner la commission d'une infraction pénale commise au préjudice de la partie plaignante.</w:t>
      </w:r>
    </w:p>
    <w:p>
      <w:r>
        <w:rPr>
          <w:b/>
        </w:rPr>
        <w:t>E. 2</w:t>
      </w:r>
    </w:p>
    <w:p>
      <w:r>
        <w:t>Y.________ interjette un recours en matière pénale au Tribunal fédéral contre l'arrêt cantonal.</w:t>
      </w:r>
    </w:p>
    <w:p>
      <w:r>
        <w:rPr>
          <w:b/>
        </w:rPr>
        <w:t>E. 2.1</w:t>
      </w:r>
    </w:p>
    <w:p>
      <w:r>
        <w:t>L'objet du litige est circonscrit par l'arrêt attaqué rendu dans la cause PE14.016470-VIY, de sorte que les critiques relatives à d'autres procédures - notamment PE08.017121-PGI, PE08.016167-VIY et PE10.025202-VIY - sont irrecevables.</w:t>
      </w:r>
    </w:p>
    <w:p>
      <w:r>
        <w:rPr>
          <w:b/>
        </w:rPr>
        <w:t>E. 2.2</w:t>
      </w:r>
    </w:p>
    <w:p>
      <w:r>
        <w:t>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En particulier, le Tribunal fédéral n'examine la violation des droits fondamentaux ainsi que celle des dispositions de droit cantonal et intercantonal que si ce grief a été invoqué et motivé par le recourant (cf. art. 106 al. 2 LTF ).</w:t>
      </w:r>
    </w:p>
    <w:p>
      <w:r>
        <w:t>Dans son mémoire au Tribunal fédéral, le recourant discute les procédures PE08.017121-PGI, PE08.016167-VIY et PE10.025202-VIY sans exposer en quoi les considérations cantonales de l'arrêt attaqué rendu dans la procédure PE14.016470-VIY seraient contraires au droit. Faute ainsi de satisfaire aux exigences de motivation susmentionnées, le recours peut être écarté en application de l' art. 108 al. 1 let. b LTF .</w:t>
      </w:r>
    </w:p>
    <w:p>
      <w:r>
        <w:rPr>
          <w:b/>
        </w:rPr>
        <w:t>E. 3</w:t>
      </w:r>
    </w:p>
    <w:p>
      <w:r>
        <w:t>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