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6B_457/2017 vom 15. Mai 2017</w:t>
      </w:r>
    </w:p>
    <w:p>
      <w:r>
        <w:t>Bundesgericht, 2017-05-15, DE</w:t>
      </w:r>
    </w:p>
    <w:p>
      <w:r>
        <w:rPr>
          <w:b/>
        </w:rPr>
        <w:t xml:space="preserve">Quelle: </w:t>
      </w:r>
      <w:r>
        <w:t>https://mcp.opencaselaw.ch/entscheid/bger_6B_457_2017</w:t>
      </w:r>
    </w:p>
    <w:p>
      <w:r>
        <w:t>FR: TF 6B_457/2017 du 15 mai 2017</w:t>
      </w:r>
    </w:p>
    <w:p>
      <w:r>
        <w:t>IT: TF 6B_457/2017 del 15 maggio 2017</w:t>
      </w:r>
    </w:p>
    <w:p>
      <w:pPr>
        <w:pStyle w:val="Heading2"/>
      </w:pPr>
      <w:r>
        <w:t>Erwägungen</w:t>
      </w:r>
    </w:p>
    <w:p>
      <w:r>
        <w:rPr>
          <w:b/>
        </w:rPr>
        <w:t>E. 1</w:t>
      </w:r>
    </w:p>
    <w:p>
      <w:r>
        <w:t>Der Beschwerdeführer wendet sich mit seiner Beschwerde gegen die Verfügung vom 6. März 2017, mit welcher die Vorinstanz sein Gesuch um Gewährung der unentgeltlichen Rechtspflege und Verbeiständung für das vorinstanzliche Beschwerdeverfahren abweist. Dabei handelt es sich um einen Zwischenentscheid, gegen den die Beschwerde nach Art. 93 Abs. 1 lit. a BGG zulässig ist, wenn er einen nicht wieder gutzumachenden Nachteil rechtlicher Natur bewirken könnte. Dies ist bei der Verweigerung der unentgeltlichen Rechtspflege und Verbeiständung in einem den Straf- und Massnahmevollzug betreffenden Verfahren in der Regel der Fall (vgl. Urteil 6B_30/2017 vom 27. Februar 2017 E. 1; siehe auch BGE 133 IV 335 E. 4 ; 129 I 129 E. 1.1).</w:t>
      </w:r>
    </w:p>
    <w:p>
      <w:r>
        <w:t>Nach dem Grundsatz der Einheit des Verfahrens sind Zwischenentscheide mit dem in der Hauptsache zulässigen Rechtsmittel anzufechten ( BGE 137 III 380 E. 1.1; 133 III 645 E. 2.2). In der Hauptsache geht es um die Dauer der mit der bedingten Entlassung aus der Massnahme verbundenen Probezeit, mithin den Vollzug von Strafen und Massnahmen, wogegen die Beschwerde in Strafsachen zulässig ist (vgl. Art. 78 Abs. 2 lit. b BGG ).</w:t>
      </w:r>
    </w:p>
    <w:p>
      <w:r>
        <w:rPr>
          <w:b/>
        </w:rPr>
        <w:t>E. 2.1</w:t>
      </w:r>
    </w:p>
    <w:p>
      <w:r>
        <w:t>Der Beschwerdeführer macht geltend, wenn die Vorinstanz in der Hauptsachenprognose davon ausgehe, dass die Dauer der Probezeit so festzulegen sei, dass sie die grösste Wahrscheinlichkeit zur Verhinderung eines Rückfalls biete, verkenne sie, dass so in jedem Fall die maximale Dauer von fünf Jahren anzuordnen wäre. Dies sei unzutreffend, denn es sei in jedem einzelnen Fall eine Interessenabwägung vorzunehmen. Vorliegend biete sich ein prognostisch gutes Bild. Gutachterlich sei ihm ein moderates bis geringes Rückfallrisiko attestiert worden, weshalb eine kürzere Probezeit anzuordnen sei. Aus welchem Grund ein gegen diesen Entscheid ergriffenes Rechtsmittel aussichtslos sein soll, sei nicht einzusehen.</w:t>
      </w:r>
    </w:p>
    <w:p>
      <w:r>
        <w:rPr>
          <w:b/>
        </w:rPr>
        <w:t>E. 2.2</w:t>
      </w:r>
    </w:p>
    <w:p>
      <w:r>
        <w:t>Die Vorinstanz erwägt im Wesentlichen, der Beschwerdeführer habe seit 2005 mehrfach delinquiert. In Anbetracht der Regelmässigkeit und Vielzahl der von ihm begangenen Taten, wobei die zuletzt verübten Delikte derart schwerwiegend gewesen seien, dass er zu einer langen Freiheitsstrafe respektive einer stationären therapeutischen Massnahme verurteilt worden sei, erscheine die gesetzliche Höchstdauer von fünf Jahren Probezeit bei einer vorläufigen Beurteilung angemessen. Bereits die Konkordatliche Fachkommission habe sich am 25. Januar 2016 für die maximale Probezeit ausgesprochen. Daran vermöge der positive Therapieverlaufsbericht des Forensischen Ambulatoriums der Psychiatrischen Klinik Königsfelden vom 10. November 2016 angesichts des relativ kurzen Beobachtungszeitraums von lediglich zwei Monaten nichts zu ändern. Im Abschlussbericht der Forensisch-Psychiatrischen Abteilung der Justizvollzugsanstalt Pöschwies vom 15. August 2016 werde zwar ein geringes bis moderates Rückfallrisiko für Raub, jedoch ein moderates bis deutliches Rückfallrisiko für Eigentumsdelikte erkannt. Diese Beobachtung erstrecke sich über einen längeren Zeitraum und sei daher von höherer Aussagekraft. Das Amt für Justizvollzug habe daher mit der Anordnung der gesetzlich vorgesehenen maximalen Probezeit das ihm zustehende Ermessen auf legitime Art ausgeübt. In dieses greife das Verwaltungsgericht nur mit Zurückhaltung ein. Bei einer vorläufigen Betrachtung bestehe kein Grund, die angefochtene Probezeit zu verkürzen. Die Beschwerde erweise sich daher als aussichtslos.</w:t>
      </w:r>
    </w:p>
    <w:p>
      <w:r>
        <w:rPr>
          <w:b/>
        </w:rPr>
        <w:t>E. 2.3</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Derselbe Anspruch ergibt sich aus § 34 des Gesetzes über die Verwaltungsrechtspflege des Kantons Aargau vom 4. Dezember 2007 (VRPG/AG; SAR 271.200). Das kantonale Recht geht, insbesondere hinsichtlich der Voraussetzung, dass die Beschwerde nicht aussichtslos sein darf, nicht über Art. 29 Abs. 3 BV hinaus.</w:t>
      </w:r>
    </w:p>
    <w:p>
      <w:r>
        <w:t>Als aussichtslos sind nach der Rechtsprechung Prozessbegehren anzusehen, bei denen die Gewinnaussichten beträchtlich geringer sind als die Verlustgefahren und die deshalb kaum als ernsthaft bezeichnet werden können. Dagegen gilt ein Begehren nicht als aussichtslos, wenn sich die Gewinnchancen und die Verlustgefahren ungefähr die Waage halten oder jene nur wenig geringer sind als diese. Massgebend ist, ob eine Partei, die über die nötigen finanziellen Mittel verfügt, sich bei vernünftiger Überlegung zu einem Prozess entscheiden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in denen das Gesuch um unentgeltliche Rechtspflege gestellt wird, namentlich aufgrund der bis dahin vorliegenden Akten ( BGE 140 V 521 E. 9.1 mit Hinweisen).</w:t>
      </w:r>
    </w:p>
    <w:p>
      <w:r>
        <w:rPr>
          <w:b/>
        </w:rPr>
        <w:t>E. 2.4</w:t>
      </w:r>
    </w:p>
    <w:p>
      <w:r>
        <w:t>Im Grunde nimmt die Vorinstanz mit ihrem Entscheid hinsichtlich der unentgeltlichen Rechtspflege den Entscheid in der Sache bereits vorweg. Insofern ist nicht nachvollziehbar, weshalb sie nicht sogleich in der Sache entschieden hat. Darauf ist jedoch nicht weiter einzugehen, da der Beschwerdeführer dies nicht beanstandet. Was dieser gegen die "vorläufige Beurteilung" der Prozessaussichten durch die Vorinstanz vorbringt, vermag die vorinstanzliche Annahme der Aussichtslosigkeit des Begehrens nicht als bundesrechtswidrig auszuweisen. Nicht gefolgt werden kann der Argumentation des Beschwerdeführers, die Vorinstanz gehe generell davon aus, lediglich die maximale Dauer der Probezeit biete die grösste Wahrscheinlichkeit zur Verhinderung eines Rückfalls, weshalb die Probezeit im Grunde immer auf fünf Jahre festzusetzen sei. Derartiges kann der vorinstanzlichen Verfügung nicht entnommen werden. Vielmehr gibt die Vorinstanz an der erwähnten Stelle die bundesgerichtliche Rechtsprechung zur Bemessung der Probezeit unter Angabe der einschlägigen Entscheide zutreffend wieder. Anschliessend beurteilt sie die vom Amt für Justizvollzug festgesetzte Probezeit anhand dieser Kriterien. Dabei stützt sie sich zunächst auf die Einschätzung der Konkordatlichen Fachkommission. Sie erwähnt auch den eher positiv ausfallenden Therapieverlaufsbericht von Dr. med. A.________, Chefarzt Forensik der Psychiatrischen Dienste AG (PDAG), vom 10. November 2016, würdigt diesen allerdings aufgrund der zu kurzen Beobachtungsdauer von lediglich zwei Monaten als weniger aussagekräftig als den Abschlussbericht der Forensisch-Psychiatrischen Abteilung der Justizvollzugsanstalt Pöschwies vom 15. August 2016. Sie erachtet gestützt darauf eine Probezeit von fünf Jahren als nicht ermessensverletzend. Der Beschwerdeführer zieht aus den erwähnten Unterlagen andere Schlussfolgerungen und setzt seine eigene Einschätzung an die Stelle der Vorinstanz. Damit ist jedoch weder dargetan noch ersichtlich, inwiefern die vorinstanzliche Einschätzung, wonach die Beschwerde aussichtslos ist, willkürlich oder bundesrechtswidrig sein soll. Die Verweigerung der unentgeltlichen Rechtspflege und Verbeiständung verstösst nicht gegen Bundesrecht. Es erübrigt sich damit, auf die weiteren Einwände des Beschwerdeführers hinsichtlich der übrigen Voraussetzungen der Gewährung der unentgeltlichen Rechtspflege einzugehen.</w:t>
      </w:r>
    </w:p>
    <w:p>
      <w:r>
        <w:rPr>
          <w:b/>
        </w:rPr>
        <w:t>E. 3</w:t>
      </w:r>
    </w:p>
    <w:p>
      <w:r>
        <w:t>Die Beschwerde ist abzuweisen. Das Gesuch um aufschiebende Wirkung ist damit gegenstandslos geworden. Das Gesuch um unentgeltliche Rechtspflege und Verbeiständung ist infolge Aussichtslosigkeit der Rechtsbegehren abzuweisen ( Art. 64 Abs. 1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