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6B_457/2007 vom 12. November 2007</w:t>
      </w:r>
    </w:p>
    <w:p>
      <w:r>
        <w:t>Bundesgericht, 2007-11-12, FR</w:t>
      </w:r>
    </w:p>
    <w:p>
      <w:r>
        <w:rPr>
          <w:b/>
        </w:rPr>
        <w:t xml:space="preserve">Quelle: </w:t>
      </w:r>
      <w:r>
        <w:t>https://mcp.opencaselaw.ch/entscheid/bger_6B_457_2007</w:t>
      </w:r>
    </w:p>
    <w:p>
      <w:r>
        <w:t>FR: TF 6B_457/2007 du 12 novembre 2007</w:t>
      </w:r>
    </w:p>
    <w:p>
      <w:r>
        <w:t>IT: TF 6B_457/2007 del 12 novembre 2007</w:t>
      </w:r>
    </w:p>
    <w:p>
      <w:pPr>
        <w:pStyle w:val="Heading2"/>
      </w:pPr>
      <w:r>
        <w:t>Erwägungen</w:t>
      </w:r>
    </w:p>
    <w:p>
      <w:r>
        <w:rPr>
          <w:b/>
        </w:rPr>
        <w:t>E. 1</w:t>
      </w:r>
    </w:p>
    <w:p>
      <w:r>
        <w:t>Interjeté par l'accusé qui a succombé dans ses conclusions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2</w:t>
      </w:r>
    </w:p>
    <w:p>
      <w:r>
        <w:t>Le recours peut être interjeté pour violation du droit, tel qu'il est délimité par les art. 95 et 96 LTF , que le Tribunal fédéral 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Dans la mesure où le recourant ne conteste ni les faits, ni leur qualification juridique, ni la peine sans sursis prononcée à son encontre, ces questions ne feront ainsi pas l'objet d'un nouvel examen.</w:t>
      </w:r>
    </w:p>
    <w:p>
      <w:r>
        <w:rPr>
          <w:b/>
        </w:rPr>
        <w:t>E. 3</w:t>
      </w:r>
    </w:p>
    <w:p>
      <w:r>
        <w:t>Le 1er janvier 2007 sont entrées en vigueur la partie générale révisée du code pénal (livre I) ainsi que les dispositions sur l'entrée en vigueur et l'application du code pénal (livre 3).</w:t>
      </w:r>
    </w:p>
    <w:p>
      <w:r>
        <w:t>Le recourant conteste pour l'essentiel les mesures thérapeutiques institutionnelles prononcées. Selon le chiffre 2 des dispositions finales de la modification du 13 décembre 2002, les dispositions du nouveau droit relatives aux mesures (art. 56 à 65) et à leur exécution (art. 90) s'appliquent aussi aux auteurs d'actes commis ou jugés avant leur entrée en vigueur. Le nouveau droit en matière de mesures est ainsi applicable in casu. La question de l'application de la lex mitior selon l' art. 2 al. 2 CP ne se pose pas dans ce contexte.</w:t>
      </w:r>
    </w:p>
    <w:p>
      <w:r>
        <w:rPr>
          <w:b/>
        </w:rPr>
        <w:t>E. 4</w:t>
      </w:r>
    </w:p>
    <w:p>
      <w:r>
        <w:t>Le recourant se plaint d'arbitraire dans l'appréciation des preuves dans la mesure où la Chambre pénale s'est écartée des conclusions du premier expert psychiatre pour ne retenir que celles du second, sans en donner les motifs.</w:t>
      </w:r>
    </w:p>
    <w:p>
      <w:r>
        <w:rPr>
          <w:b/>
        </w:rPr>
        <w:t>E. 4.1</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129 I 8 consid. 2.1; 128 I 273 consid. 2.1).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129 18 consid. 2.1 ; 127 138 consid. 2a p. 41).</w:t>
      </w:r>
    </w:p>
    <w:p>
      <w:r>
        <w:t>Concernant plus particulièrement l'appréciation du résultat d'une expertise, le juge n'est en principe pas lié par celui-ci.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122 V 157 consid. 1c p. 160; 119 Ib 254 consid. 8a p. 274). Si les conclusions d'une expertise judiciaire lui apparaissent douteuses sur des points essentiels, il doit recueillir des preuves complémentaires pour tenter de dissiper ses hésitations. A défaut, en se fondant sur une expertise non concluante, il pourrait commettre une appréciation arbitraire des preuves et violer l' art. 9 Cst. ( ATF 118 Ia 144 consid. 1c p. 146).</w:t>
      </w:r>
    </w:p>
    <w:p>
      <w:r>
        <w:t>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Lorsque deux ou plusieurs expertises divergent entre elles sur des points importants, celles-ci ne bénéficient plus du crédit qui est attaché aux avis d'experts et qui interdit au juge de s'en écarter sans motifs déterminants ( ATF 107 IV 7 consid. 5).</w:t>
      </w:r>
    </w:p>
    <w:p>
      <w:r>
        <w:rPr>
          <w:b/>
        </w:rPr>
        <w:t>E. 4.2</w:t>
      </w:r>
    </w:p>
    <w:p>
      <w:r>
        <w:t>Trois expertises figurent au dossier. La première émane du Dr A.________, chef de clinique au Département de psychiatrie des HUG (rapport du 12 avril 2006). La deuxième a été confiée au Dr B.________ psychiatre (rapport du 6 février 2007), suite à la décision de la Chambre d'accusation du 21 septembre 2006 d'ordonner une nouvelle expertise judiciaire. La troisième expertise a été réalisée par le Dr C.________, psychologue, à la demande du Tribunal tutélaire (rapport du 11 janvier 2007).</w:t>
      </w:r>
    </w:p>
    <w:p>
      <w:r>
        <w:t>Dans le cas d'espèce, les juges cantonaux ont tenu pour probantes les considérations de l'expert B.________. Pour celui-ci, le recourant souffrait déjà d'un grave trouble mental au moment des faits, soit d'un trouble de la personnalité de type paranoïaque de sévérité moyenne. II en résultait qu'au moment d'agir, le recourant n'avait ni la faculté d'apprécier pleinement le caractère illicite de son acte ni celle de se déterminer d'après cette appréciation. En raison de cet état, il existait un risque de commissions de nouvelles infractions du même type. Un traitement psycho-thérapeutique institutionnel avec un traitement médicamenteux précis était en conséquence nécessaire en milieu fermé.</w:t>
      </w:r>
    </w:p>
    <w:p>
      <w:r>
        <w:t>Examinant aussi l'analyse et les conclusions d'un premier expert, le Dr B.________ a relevé que l'expertisé n'était pas, à son avis, une personnalité dyssociale ou psychopathe comme l'attestait en particulier son parcours de vie scolaire, familial et professionnel, sans marque d'agressivité ou de violence. L'expert a encore relevé que X.________ avait un mode de fonctionnement infiltré de méfiance soupçonneuse, était psychorigide avec des convictions et un entêtement inébranlable, égocentrique, orgueilleux, imbu de lui-même. Il surestimait ses propres droits, était provocateur, quérulent, agressif, menteur et manipulateur. Enfin, il était aussi rancunier, ne pardonnant pas l'affront que son ex-compagne lui avait infligé.</w:t>
      </w:r>
    </w:p>
    <w:p>
      <w:r>
        <w:t>Même s'ils l'ont fait de manière relativement concise, les juges cantonaux ont exposés les raisons pour lesquelles ils avaient donné la préférence à l'avis de cet expert dont il faut relever que le rapport est postérieur de dix mois à celui du premier expert. Ils ont ainsi considéré que tant le déroulement de la procédure que le dossier mettaient en évidence le fonctionnement du recourant sur un mode persécuteur, envahissant, hors de toute proportion. Chaque nouveau courrier adressé aux autorités reflétait la paranoïa décrite par l'expert et la totale incapacité de l'intéressé à se remettre en question, à prendre de la distance. Ainsi, au lieu de s'atténuer, ses sentiments haineux et revendicatifs mis en évidence par ses menaces répétées persistent dans la même intensité, voire s'amplifient avec le temps. Pour ces motifs, ils ont considéré comme raisonnablement fondé le diagnostic d'un comportement de type paranoïaque et non simplement dyssocial comme décrit par le premier expert.</w:t>
      </w:r>
    </w:p>
    <w:p>
      <w:r>
        <w:t>A ces premiers motifs se sont ajoutées encore les conclusions du troisième expert, le psychologue C.________, décrivant le comportement de X.________ comme empreint de monomanie et de paranoïa. A son avis, celui-ci présente ainsi le fonctionnement typique associé au stalking pathologique, savoir la poursuite malveillante, préméditée, répétée et le harcèlement d'autrui de manière à menacer sa sécurité.</w:t>
      </w:r>
    </w:p>
    <w:p>
      <w:r>
        <w:t>Dans ces conditions, le grief d'arbitraire n'apparaît pas fondé, les juges cantonaux ayant fait usage correct, dans le cadre légal défini plus haut, de leur pouvoir d'appréciation. En effet, d'une part, l'expertise de Dr B.________ a été rendue au terme d'un examen détaillé, en pleine connaissance du dossier et ses conclusions sont solidement motivées. L'expert a pu en outre prendre en considération l'absence d'évolution depuis la première expertise de l'intéressé qui poursuit son comportement querelleur et menaçant. Ensuite, et pour fonder leur conviction, les premiers juges pouvaient légitimement se référer à la troisième expertise dont les conclusions rejoignent celles du Dr B.________. Enfin, ainsi que l'ont rappelé les juges cantonaux, l'avis du premier expert a d'abord été donné par téléphone du 7 mars 2006 au magistrat instructeur. Dans cette communication, le psychiatre exposait que X.________ présentait un trouble de la personnalité, qu'il n'avait aucune capacité d'introspection et que sa dangerosité était concrète. Selon cette première analyse, il aurait dû, dans un premier temps, être pris en charge psychiatriquement en milieu fermé. Dans ces conditions aussi, il n'apparaît pas arbitraire d'avoir donné à son rapport écrit du 12 avril 2006, divergent quant au diagnostic et à ses conclusions, une force probante moindre.</w:t>
      </w:r>
    </w:p>
    <w:p>
      <w:r>
        <w:t>Le grief est infondé.</w:t>
      </w:r>
    </w:p>
    <w:p>
      <w:r>
        <w:rPr>
          <w:b/>
        </w:rPr>
        <w:t>E. 5</w:t>
      </w:r>
    </w:p>
    <w:p>
      <w:r>
        <w:t>Le recourant reproche encore à l'autorité cantonale d'avoir ordonné un traitement institutionnel au lieu d'un traitement ambulatoire, violant ainsi le principe de proportionnalité énoncé à l' art. 56a al. 1 CP .</w:t>
      </w:r>
    </w:p>
    <w:p>
      <w:r>
        <w:rPr>
          <w:b/>
        </w:rPr>
        <w:t>E. 5.1</w:t>
      </w:r>
    </w:p>
    <w:p>
      <w:r>
        <w:t>Aux termes de l' art. 59 al. 1 let. b CP , lorsque l'auteur souffre d'un grave trouble mental, le juge peut ordonner un traitement institutionnel s'il est à prévoir que cette mesure le détournera de nouvelles infractions en relation avec ce trouble. Au lieu d'un traitement institutionnel, le juge ordonnera un traitement ambulatoire à la double condition que l'auteur a commis un acte punissable en relation avec cet état et qu'il est à prévoir que ce traitement le détournera de nouvelles infractions en relation avec cet état ( art. 63 al. 1 CP ).</w:t>
      </w:r>
    </w:p>
    <w:p>
      <w:r>
        <w:t>Selon le Message du Conseil fédéral (FF 1999, p. 1881 sv.), les règles relatives aux mesures thérapeutiques institutionnelles sont en majeure partie reprises de l'ancien droit. Les dispositions des art. 59 et 63 CP codifient l'exigence d'un grave trouble mental issue de la jurisprudence (cf. arrêt L. du 6 avril 2006, 6S.427/2005, consid. 2.3 et les arrêts cités). II en résulte que, comme précédemment, toute anomalie mentale au sens médical ne constitue pas une anormalité mentale au sens de la loi, laquelle postule l'existence d'un grave trouble. Elle apporte également la précision qu'un traitement spécial du trouble mental se justifiera uniquement s'il est à prévoir qu'il détournera l'auteur de commettre de nouvelles infractions en relation avec ce trouble.</w:t>
      </w:r>
    </w:p>
    <w:p>
      <w:r>
        <w:t>Sur la base des expertises administrées, en particulier celle du Dr B.________, les premiers juges ont retenu l'existence d'un grave trouble mental chez le recourant consistant en un trouble de la personnalité paranoïaque d'intensité moyenne. Ils ont de plus considéré que les actes incriminés étaient en relation avec cet état psychique fortement perturbé. Dans ces conditions, avoir ordonné une mesure thérapeutique dans le but de le détourner de nouvelles infractions est conforme au droit fédéral, ce qui n'est au demeurant pas contesté.</w:t>
      </w:r>
    </w:p>
    <w:p>
      <w:r>
        <w:rPr>
          <w:b/>
        </w:rPr>
        <w:t>E. 5.2</w:t>
      </w:r>
    </w:p>
    <w:p>
      <w:r>
        <w:t>La dangerosité présentée par l'auteur constitue, comme précédemment, une condition pour le prononcé de mesures. Aussi, les règles posées par la jurisprudence à ce jour peuvent être reprises.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 ATF 127 IV 1 consid. 2a p. 4 s.).</w:t>
      </w:r>
    </w:p>
    <w:p>
      <w:r>
        <w:t>Reste que la décision du juge doit respecter le principe constitutionnel de proportionnalité ( art. 36 al. 3 Cst. ), nouvellement inscrit dans la loi. Selon l' art. 56 al. 2 CP ,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 art. 56a CP rappelle que si plusieurs mesures s'avèrent appropriées, mais qu'une seule est nécessaire, le juge ordonne celle qui porte à l'auteur les atteintes les moins graves. En effet, eu égard à la gravité de l'atteinte à la liberté personnelle que constitue le traitement institutionnel, cas échéant dans un milieu fermé, cette mesure ne doit être ordonnée qu'à titre d'ultima ratio lorsque la dangerosité existante ne peut être écartée autrement (cf. aussi ATF 118 IV 108 consid. 2a p. 113 et les références citées).</w:t>
      </w:r>
    </w:p>
    <w:p>
      <w:r>
        <w:t>Pour ordonner une mesure thérapeutique, le juge devra se fonder sur une expertise qui se prononce tant sur l'état physique et mental du délinquant que sur la nécessité et les chances de succès d'un traitement, sur la vraisemblance que l'auteur commette d'autres infractions et sur la nature de celles-ci ainsi que sur les possibilités de faire exécuter la mesure ( art. 56 al. 3 CP ).</w:t>
      </w:r>
    </w:p>
    <w:p>
      <w:r>
        <w:rPr>
          <w:b/>
        </w:rPr>
        <w:t>E. 5.3</w:t>
      </w:r>
    </w:p>
    <w:p>
      <w:r>
        <w:t>Selon le Dr B.________ dont l'expertise a été, sans arbitraire, tenue pour probante par les premiers juges, le trouble psychique grave dont souffre le recourant nécessite des soins pharmacothérapiques et psychothérapeutiques. S'ils sont administrés, de tels soins sont propres à diminuer ou éliminer le risque de récidive. A cet égard la dangerosité/risque de récidive découle du fait qu'en raison de son état mental, le recourant risque de commettre à nouveau les mêmes infractions soit des aggressions psychologiques ou physiques aussi bien à l'égard de son ancienne compagne, de son enfant que des personnes travaillant dans des services qui les prennent en charge. Faute de traitement thérapeutique et en raison de la dangerosité inhérente au trouble de personnalité paranoïaque, un traitement institutionnel en établissement fermé s'avère nécessaire pour avoir quelque chance de succès, en l'absence de compliance thérapeutique.</w:t>
      </w:r>
    </w:p>
    <w:p>
      <w:r>
        <w:t>Au vu des réponses données par l'expert, les juges cantonaux pouvaient, sans enfreindre le droit fédéral, considérer que les conditions d'une mesure thérapeutique institutionnelle en milieu fermé étaient données. D'une part, les infractions présentaient un caractère certain de gravité, notamment en raison des menaces répétées et tout particulièrement des menaces de mort ainsi que de la violence des propos qui a augmenté avec l'écoulement du temps. D'autre part, les risques de récidive, au regard de l'ensemble du dossier et du comportement du recourant, étaient et sont manifestes. Dans l'impossibilité d'y parer autrement, la mesure se justifiait également au regard des biens juridiquement protégés. Enfin, en l'absence de toute compliance, il n'était pas envisageable d'ordonner seulement, selon le principe de subsidiarité, un traitement ambulatoire. Conformément à l' art. 62 al. 1 CP , il incombera à l'autorité de décider de sa libération conditionnelle de l'exécution institutionnelle de la mesure dès que son état justifiera de lui donner l'occasion de faire ses preuves en liberté.</w:t>
      </w:r>
    </w:p>
    <w:p>
      <w:r>
        <w:rPr>
          <w:b/>
        </w:rPr>
        <w:t>E. 6</w:t>
      </w:r>
    </w:p>
    <w:p>
      <w:r>
        <w:t>Le recourant a requis l'assistance judiciaire. En présence d'un risque manifeste de récidive d'infractions d'une gravité certaine (supra consid. 5.3), le recours était cependant d'emblée dénué de chances de succès, si bien que l'assistance judiciaire doit être refusée ( art. 64 al. 1 LTF ). Le recourant, qui succombe, supporte les frais de la procédure ( art. 66 al. 1 LTF ), qui seront toutefois fixés compte tenu de sa situation financière, marquée par le besoin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