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6B_455/2024 vom 2. Juli 2024</w:t>
      </w:r>
    </w:p>
    <w:p>
      <w:r>
        <w:t>Bundesgericht, 2024-07-02, FR</w:t>
      </w:r>
    </w:p>
    <w:p>
      <w:r>
        <w:rPr>
          <w:b/>
        </w:rPr>
        <w:t xml:space="preserve">Quelle: </w:t>
      </w:r>
      <w:r>
        <w:t>https://mcp.opencaselaw.ch/entscheid/bger_6B_455_2024</w:t>
      </w:r>
    </w:p>
    <w:p>
      <w:r>
        <w:t>FR: TF 6B_455/2024 du 2 juillet 2024</w:t>
      </w:r>
    </w:p>
    <w:p>
      <w:r>
        <w:t>IT: TF 6B_455/2024 del 2 luglio 2024</w:t>
      </w:r>
    </w:p>
    <w:p>
      <w:pPr>
        <w:pStyle w:val="Heading2"/>
      </w:pPr>
      <w:r>
        <w:t>Erwägungen</w:t>
      </w:r>
    </w:p>
    <w:p>
      <w:r>
        <w:rPr>
          <w:b/>
        </w:rPr>
        <w:t>E. 1</w:t>
      </w:r>
    </w:p>
    <w:p>
      <w:r>
        <w:t>Par deux actes identiques des 4 et 7 juin 2024, adressés respectivement au Tribunal cantonal valaisan et au Tribunal fédéral, A.________ recourt en matière pénale contre un arrêt du 22 mai 2024 par lequel la Cour pénale I du Tribunal cantonal a très partiellement admis l'appel interjeté par l'intéressé contre un jugement du 30 mai 2022 rendu par le Juge I des districts d'Hérens et Conthey. Après avoir constaté l'entrée en force du ch. 4 du dispositif de ce jugement réservant au for civil les prétentions de B.________, la cour cantonale a très partiellement admis l'appel, constaté une violation du principe de célérité et a condamné A.________ à une peine d'ensemble de 20 jours-amende à 18 fr. le jour (ch. 1) avec sursis pendant 3 ans (ch. 2 et 3), pour injure et tentative de menaces (ch. 1), avec suite de frais (500 fr.; ch. 5).</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3</w:t>
      </w:r>
    </w:p>
    <w:p>
      <w:r>
        <w:t>En l'espèce, le recours ne contient aucune conclusion formelle et sa motivation se résume à un exposé libre de faits, qui s'écarte de ceux retenus par la cour cantonale. Le recourant ne discute d'aucune manière la motivation en droit de la décision querellée et il n'invoque non plus expressément ni l'interdiction de l'arbitraire ni la violation d'un quelconque droit fondamental.</w:t>
      </w:r>
    </w:p>
    <w:p>
      <w:r>
        <w:rPr>
          <w:b/>
        </w:rPr>
        <w:t>E. 4</w:t>
      </w:r>
    </w:p>
    <w:p>
      <w:r>
        <w:t>La motivation du recours est manifestement insuffisante. Il y a lieu de le constater dans la procédure prévue par l' art. 108 al. 1 let.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