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455/2011 vom 29. November 2011</w:t>
      </w:r>
    </w:p>
    <w:p>
      <w:r>
        <w:t>Bundesgericht, 2011-11-29, FR</w:t>
      </w:r>
    </w:p>
    <w:p>
      <w:r>
        <w:rPr>
          <w:b/>
        </w:rPr>
        <w:t xml:space="preserve">Quelle: </w:t>
      </w:r>
      <w:r>
        <w:t>https://mcp.opencaselaw.ch/entscheid/bger_6B_455_2011</w:t>
      </w:r>
    </w:p>
    <w:p>
      <w:r>
        <w:t>FR: TF 6B 455/2011 du 29 novembre 2011</w:t>
      </w:r>
    </w:p>
    <w:p>
      <w:r>
        <w:t>IT: TF 6B 455/2011 del 29 novembre 2011</w:t>
      </w:r>
    </w:p>
    <w:p>
      <w:pPr>
        <w:pStyle w:val="Heading2"/>
      </w:pPr>
      <w:r>
        <w:t>Regeste</w:t>
      </w:r>
    </w:p>
    <w:p>
      <w:r>
        <w:t>Révision (actes d'ordre sexuel avec un enfant) | Droit pénal (en général)</w:t>
      </w:r>
    </w:p>
    <w:p>
      <w:pPr>
        <w:pStyle w:val="Heading2"/>
      </w:pPr>
      <w:r>
        <w:t>Erwägungen</w:t>
      </w:r>
    </w:p>
    <w:p>
      <w:r>
        <w:rPr>
          <w:b/>
        </w:rPr>
        <w:t>E. 1</w:t>
      </w:r>
    </w:p>
    <w:p>
      <w:r>
        <w:t>Le recourant se plaint d'une violation des art. 410 CPP et 385 CP.</w:t>
      </w:r>
    </w:p>
    <w:p>
      <w:r>
        <w:rPr>
          <w:b/>
        </w:rPr>
        <w:t>E. 1.1</w:t>
      </w:r>
    </w:p>
    <w:p>
      <w:r>
        <w:t>Il relève que le courrier de sa fille du 4 janvier 2011 constitue un fait nouveau. Selon lui, les nouvelles déclarations de sa fille sont sérieuses. Celle-ci aurait dû être entendue. Les dires de son épouse corroborant les propos de leur fille auraient aussi dû être pris en compte.</w:t>
      </w:r>
    </w:p>
    <w:p>
      <w:r>
        <w:rPr>
          <w:b/>
        </w:rPr>
        <w:t>E. 1.2</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s'agissant d'une révision en faveur du condamné, le motif de révision prévu à l' art. 410 al. 1 let. a CPP correspondant à celui de l' art. 385 CP (arrêts 6B_683/2011 du 21 novembre 2011 consid. 4.1; 6B_310/2011 du 20 juin 2011 consid. 1.1 et références citées). L' art. 410 al. 1 let. a CPP prévoit notamment que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en particulier la double exigence posée par l' art. 385 CP selon laquelle les faits ou moyens de preuve invoqués doivent être nouveaux et sérieux (cf. Message relatif à l'unification du droit de la procédure pénale du 21 décembre 2005, FF 2006 1303 ad art. 417 [actuel art. 410 CPP ]; THOMAS FINGERHUTH, in Kommentar zur StPO, 2010, n. 54 ss et 61 ss ad art. 410 CPP ; MARIANNE HEER, in Basler Kommentar, Schweizerische Strafprozessordnung, 2011, n. 46 ss et 65 ss ad art. 410 CPP ).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130 IV 72 consid. 1 p. 73). 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w:t>
      </w:r>
    </w:p>
    <w:p>
      <w:r>
        <w:rPr>
          <w:b/>
        </w:rPr>
        <w:t>E. 1.3</w:t>
      </w:r>
    </w:p>
    <w:p>
      <w:r>
        <w:t>En l'espèce, la cour cantonale a exclu que les nouvelles déclarations de la victime invoquées par le recourant constituent un moyen de preuve nouveau. Elle s'est référée à un passage du message du Conseil fédéral, selon lequel "le fait survenu après le jugement dont la révision est demandée n'est pas considéré comme inconnu" (FF 2006 p. 1303). Le passage précité n'a pas la portée que lui prête la cour cantonale. Tout au plus exclut-il un fait qui n'existait pas au moment du jugement et qui survient ensuite. N'est en revanche concerné ni le moyen de preuve découvert postérieurement au jugement ni le fait qui existait déjà au moment du jugement mais qui n'a été révélé qu'ensuite. Un tel moyen de preuve ou un tel fait sont quant à eux nouveaux. L'approche cantonale quant au caractère nouveau est donc erronée. Cela ne justifie toutefois pas en soi l'admission du recours dès lors que la cour cantonale a également rejeté la demande de révision au motif que le moyen de preuve offert n'était pas sérieux. Sur ce dernier point, la cour cantonale a considéré que les nouvelles déclarations de la victime n'étaient pas de nature à ébranler les constatations de fait des premiers juges. Elle s'est déclarée non convaincue par ces déclarations car la fille du recourant exprimait avant tout son inquiétude que ce dernier soit expulsé de Suisse et déplorait les conséquences pour sa mère et ses frère et s?ur. Selon la cour, il était notoire que les victimes au sein d'une famille, nonobstant ce qu'elles avaient subi, se sentaient injustement à l'origine des désagréments causés au reste de la famille et que, ployant sous le poids de cette fausse responsabilité, revenaient sur leurs déclarations. La cour a ajouté que les dires de la victime n'étaient pas le seul élément qui avait fondé la condamnation. Les circonstances de la révélation des faits par la victime, la découverte des traces de sperme à l'endroit désigné par cette dernière et l'incapacité du recourant à fournir une explication avaient également emporté la conviction des premiers juges (cf. jugement attaqué, p. 5). En niant que le nouveau moyen de preuve soit de nature à ébranler les faits sur lesquels repose la condamnation du recourant, la cour cantonale a tranché une question de fait (cf. supra consid. 1.2 in fine).</w:t>
      </w:r>
    </w:p>
    <w:p>
      <w:r>
        <w:rPr>
          <w:b/>
        </w:rPr>
        <w:t>E. 1.4</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Le Tribunal fédéral n'entre pas en matière sur les critiques de nature appellatoire ( ATF 137 IV 1 consid. 4.2.3 p. 5). Le recourant se borne à mettre en avant les nouvelles déclarations de sa fille. Il ne cherche pas à démontrer en quoi les différents éléments exposés par la cour cantonale pour nier que lesdites déclarations puissent ébranler les faits à l'origine de la condamnation procéderaient d'une appréciation arbitraire des preuves, même sous l'angle de la seule vraisemblance. Purement appellatoire, l'argumentation du recourant est irrecevable.</w:t>
      </w:r>
    </w:p>
    <w:p>
      <w:r>
        <w:rPr>
          <w:b/>
        </w:rPr>
        <w:t>E. 1.5</w:t>
      </w:r>
    </w:p>
    <w:p>
      <w:r>
        <w:t>Le recourant évoque aussi que sa fille et son épouse auraient dû être entendues en application de l' art. 412 al. 4 CPP . Selon cette disposition, la juridiction d'appel détermine les compléments de preuve à administrer et les compléments à apporter au dossier. On comprend de la solution du jugement attaqué que la cour cantonale n'a pas considéré comme utile de procéder à une mesure d'instruction dès lors qu'elle considérait les nouvelles déclarations de la fille comme inaptes à ébranler les faits à l'origine de la condamnation. En ce sens, elle n'a pas violé l' art. 412 al. 4 CPP ni le droit d'être entendu du recourant (sur la conformité d'une appréciation anticipée des preuves à la lumière de ce droit, cf. ATF 136 I 229 consid. 5.3 p. 236-237).</w:t>
      </w:r>
    </w:p>
    <w:p>
      <w:r>
        <w:rPr>
          <w:b/>
        </w:rPr>
        <w:t>E. 2</w:t>
      </w:r>
    </w:p>
    <w:p>
      <w:r>
        <w:t>Il s'ensuit que le recours doit être rejeté dans la mesure où il est recevable. Les conclusions étaient vouées à l'échec. L'assistance judiciaire ne peut partant être accordée au recourant ( art. 64 al. 1 LTF ). Celui-ci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