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6B_454/2017 vom 12. Juni 2017</w:t>
      </w:r>
    </w:p>
    <w:p>
      <w:r>
        <w:t>Bundesgericht, 2017-06-12, FR</w:t>
      </w:r>
    </w:p>
    <w:p>
      <w:r>
        <w:rPr>
          <w:b/>
        </w:rPr>
        <w:t xml:space="preserve">Quelle: </w:t>
      </w:r>
      <w:r>
        <w:t>https://mcp.opencaselaw.ch/entscheid/bger_6B_454_2017</w:t>
      </w:r>
    </w:p>
    <w:p>
      <w:r>
        <w:t>FR: TF 6B_454/2017 du 12 juin 2017</w:t>
      </w:r>
    </w:p>
    <w:p>
      <w:r>
        <w:t>IT: TF 6B_454/2017 del 12 giugno 2017</w:t>
      </w:r>
    </w:p>
    <w:p>
      <w:pPr>
        <w:pStyle w:val="Heading2"/>
      </w:pPr>
      <w:r>
        <w:t>Erwägungen</w:t>
      </w:r>
    </w:p>
    <w:p>
      <w:r>
        <w:rPr>
          <w:b/>
        </w:rPr>
        <w:t>E. 1</w:t>
      </w:r>
    </w:p>
    <w:p>
      <w:r>
        <w:t>Par acte du 6 avril 2017, A.________ forme un recours en matière pénale au Tribunal fédéral contre un arrêt du 17 mars 2017, par lequel la Chambre des recours pénale du Tribunal cantonal vaudois a rejeté le recours formé par l'intéressée contre une ordonnance du Ministère public central, division affaires spéciales, du canton de Vaud, du 28 février 2017. Dite décision portait sur le classement de la plainte dirigée par A.________ contre le Dr B.________, spécialiste FMH en urologie.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le mémoire de recours est muet sur la question de la qualité pour recourir et ne contient aucune indication sur la nature et le montant d'éventuelles prétentions dirigées contre le Dr B.________. La recourante allègue, en substance, avoir souffert d'une infection urinaire après le retrait, qu'elle considère comme tardif, de sondes urinaires posées par ce médecin. En l'absence de toute explication, cet état de fait ne permet pas de comprendre directement et sans ambiguïté en quoi pourraient consister d'éventuelles prétentions civiles. Il n'en ressort pas, en particulier, que la recourante aurait dû prendre à sa charge des frais médicaux, que d'éventuelles lésions ou séquelles lui auraient causé une incapacité de gain ou encore des souffrances telles que la réparation d'un tort moral doive être envisagée (cf. ATF 131 III 26 consid. 12.1 p. 29; arrêt 1B_648/2012 du 11 juillet 2013 consid. 1.2). L'absence de toute explication sur ces différents points exclut la qualité pour agir de la recourante en application de l'art. 81 al. 1 let. b ch. 5 LTF.</w:t>
      </w:r>
    </w:p>
    <w:p>
      <w:r>
        <w:t>La recourante n'invoque d'aucune manière la violation de son droit de plainte (art. 81 al. 1 let. b ch. 6 LTF) et son argumentation porte uniquement sur la nécessité de mettre en oeuvre une expertise médicale, de sorte qu'elle ne fait valoir, non plus, la violation d'aucun droit procédural entièrement séparé du fond (cf. ATF 141 IV 1 consid. 1.1 p. 5).</w:t>
      </w:r>
    </w:p>
    <w:p>
      <w:r>
        <w:rPr>
          <w:b/>
        </w:rPr>
        <w:t>E. 3</w:t>
      </w:r>
    </w:p>
    <w:p>
      <w:r>
        <w:t>Au vu de ce qui précède, la recourante ne démontre pas à satisfaction de droit avoir qualité pour recourir en matière pénale contre l'ordonnance de classement du 28 février 2017. L'irrecevabilité est manifeste. Le recours doit être écarté en application de l' art. 108 al. 1 let. a et b LTF . La recourante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