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6B_453/2024 vom 14. Juni 2024</w:t>
      </w:r>
    </w:p>
    <w:p>
      <w:r>
        <w:t>Bundesgericht, 2024-06-14, FR</w:t>
      </w:r>
    </w:p>
    <w:p>
      <w:r>
        <w:rPr>
          <w:b/>
        </w:rPr>
        <w:t xml:space="preserve">Quelle: </w:t>
      </w:r>
      <w:r>
        <w:t>https://mcp.opencaselaw.ch/entscheid/bger_6B_453_2024</w:t>
      </w:r>
    </w:p>
    <w:p>
      <w:r>
        <w:t>FR: TF 6B_453/2024 du 14 juin 2024</w:t>
      </w:r>
    </w:p>
    <w:p>
      <w:r>
        <w:t>IT: TF 6B_453/2024 del 14 giugno 2024</w:t>
      </w:r>
    </w:p>
    <w:p>
      <w:pPr>
        <w:pStyle w:val="Heading2"/>
      </w:pPr>
      <w:r>
        <w:t>Erwägungen</w:t>
      </w:r>
    </w:p>
    <w:p>
      <w:r>
        <w:rPr>
          <w:b/>
        </w:rPr>
        <w:t>E. 1</w:t>
      </w:r>
    </w:p>
    <w:p>
      <w:r>
        <w:t>Par jugement du 18 mars 2024, la Cour d'appel pénale du Tribunal cantonal vaudois a partiellement admis l'appel interjeté par A.________ à l'encontre du jugement rendu le 8 novembre 2023 par le Tribunal de police de l'arrondissement de Lausanne. Elle a, en substance, confirmé sa condamnation pour vol, violation simple des règles de la circulation routière, entrave aux mesures de constatations de l'incapacité de conduire (véhicule automobile), vol d'usage d'un véhicule automobile et conduite d'un véhicule automobile sans le permis requis, tout en confirmant également la révocation du sursis accordé le 8 avril 2019 par le Ministère public de l'arrondissement de Lausanne. Elle a en revanche réformé le jugement querellé s'agissant de la peine prononcée, fixant une peine privative de liberté de 120 jours et une amende de 300 fr., convertible en 3 jours de peine privative de liberté en cas de non-paiement fautif de l'amende.</w:t>
      </w:r>
    </w:p>
    <w:p>
      <w:r>
        <w:rPr>
          <w:b/>
        </w:rPr>
        <w:t>E. 2</w:t>
      </w:r>
    </w:p>
    <w:p>
      <w:r>
        <w:t>Par acte daté du 21 mai 2024, d'abord remis au Ministère public de l'arrondissement de Lausanne, puis transmis à la Cour pénale du Tribunal cantonal vaudois et enfin à la cour de céans, qui l'a reçu en date du 5 juin 2024, A.________ a formé un recours en matière pénale au Tribunal fédéral à l'encontre du jugement du 18 mars 2024, notifié le 24 avril suivant.</w:t>
      </w:r>
    </w:p>
    <w:p>
      <w:r>
        <w:rPr>
          <w:b/>
        </w:rPr>
        <w:t>E. 3</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t>En l'espèce, l'écriture du recourant ne permet de constater que la volonté du recourant de contester le jugement attaqué mais ne comporte aucune motivation topique censée esquisser en quoi ce dernier serait contraire au droit.</w:t>
      </w:r>
    </w:p>
    <w:p>
      <w:r>
        <w:t>Il s'ensuit que le recours ne répond manifestement pas aux exigences de motivation d'un recours en matière pénale au Tribunal fédéral (cf. art. 42 al. 2 et 106 al. 2 LTF) et qu'il est donc irrecevable.</w:t>
      </w:r>
    </w:p>
    <w:p>
      <w:r>
        <w:rPr>
          <w:b/>
        </w:rPr>
        <w:t>E. 4</w:t>
      </w:r>
    </w:p>
    <w:p>
      <w:r>
        <w:t>Au vu de ce qui précède, le recours doit être déclaré irrecevable, ce qu'il convient de constater dans la procédure prévue par l' art. 108 al. 1 let. b LTF . Le recourant, qui succombe, supporte les frais de la procédure. Ceux-ci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