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6B_452/2018 vom 19. Dezember 2018</w:t>
      </w:r>
    </w:p>
    <w:p>
      <w:r>
        <w:t>Bundesgericht, 2018-12-19, FR</w:t>
      </w:r>
    </w:p>
    <w:p>
      <w:r>
        <w:rPr>
          <w:b/>
        </w:rPr>
        <w:t xml:space="preserve">Quelle: </w:t>
      </w:r>
      <w:r>
        <w:t>https://mcp.opencaselaw.ch/entscheid/bger_6B_452_2018</w:t>
      </w:r>
    </w:p>
    <w:p>
      <w:r>
        <w:t>FR: TF 6B_452/2018 du 19 décembre 2018</w:t>
      </w:r>
    </w:p>
    <w:p>
      <w:r>
        <w:t>IT: TF 6B_452/2018 del 19 dicembre 2018</w:t>
      </w:r>
    </w:p>
    <w:p>
      <w:pPr>
        <w:pStyle w:val="Heading2"/>
      </w:pPr>
      <w:r>
        <w:t>Erwägungen</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elle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En l'espèce, le recourant se borne à affirmer que la décision attaquée pourrait avoir des effets sur le jugement de ses prétentions civiles, sans fournir davantage d'explications concernant la nature et la quotité de celles-ci.</w:t>
      </w:r>
    </w:p>
    <w:p>
      <w:r>
        <w:t>Par ailleurs, le recourant a conclu avec X.________ SA une convention datée du 6 mai 2011, par laquelle cette société a, ensuite de l'opération du 31 janvier 2011, reconnu lui devoir un montant unique de 1'500'000 fr. pour solde de tout compte, moyennant quoi l'intéressé renonçait "à toute prétention contre [X.________ SA], quelle que soit l'évolution de son état médical ou de sa situation professionnelle, y compris à raison d'éléments nouveaux ou imprévus", les effets de cette convention valant "pour toutes les personnes qui pourraient être tenues responsables du dommage subi par [le recourant] qui, en conséquence, s'engage à ne pas faire valoir de prétentions contre elles". Dans son recours au Tribunal fédéral, le recourant n'explique nullement dans quelle mesure il pourrait encore, nonobstant la convention précitée et la somme de 1'500'000 fr. qu'il admet avoir reçue, faire valoir d'éventuelles prétentions civiles supplémentaires à l'encontre des intimées.</w:t>
      </w:r>
    </w:p>
    <w:p>
      <w:r>
        <w:t>Il est donc douteux que le recourant dispose de la qualité pour recourir sur le fond de la cause au sens de l'art. 81 al. 1 let. b ch. 5 LTF. La question peut être laissée ouverte, compte tenu de ce qui suit.</w:t>
      </w:r>
    </w:p>
    <w:p>
      <w:r>
        <w:rPr>
          <w:b/>
        </w:rPr>
        <w:t>E. 2</w:t>
      </w:r>
    </w:p>
    <w:p>
      <w:r>
        <w:t>Le recourant développe tout d'abord une argumentation tendant à démontrer que les intimées auraient dû être mises en accusation pour lésions corporelles par négligence.</w:t>
      </w:r>
    </w:p>
    <w:p>
      <w:r>
        <w:t>Il admet cependant que, comme l'a constaté la cour cantonale, la prescription de l'action pénale est acquise concernant une telle infraction. On ne perçoit pas, partant, de quel intérêt juridique actuel et pratique (cf. ATF 140 IV 74 consid. 1.3.1 p. 77; 136 I 274 consid. 1.3 p. 276) pourrait se prévaloir celui-ci pour amener le Tribunal fédéral à examiner cet aspect. En outre, le Tribunal fédéral ne saurait, comme le demande le recourant, "constater" la violation de l' art. 125 CP par les intimées, aucune d'elles n'ayant été mise en accusation ni jugée pour ce chef de prévention.</w:t>
      </w:r>
    </w:p>
    <w:p>
      <w:r>
        <w:t>En conséquence, l'argumentation du recourant est, à cet égard, irrecevable.</w:t>
      </w:r>
    </w:p>
    <w:p>
      <w:r>
        <w:rPr>
          <w:b/>
        </w:rPr>
        <w:t>E. 3</w:t>
      </w:r>
    </w:p>
    <w:p>
      <w:r>
        <w:t>Le recourant reproche à la cour cantonale d'avoir violé les art. 22 et 111 CP , en relation avec le principe "in dubio pro duriore", en confirmant le classement de la procédure à l'égard de B.________ et de D.________.</w:t>
      </w:r>
    </w:p>
    <w:p>
      <w:r>
        <w:rPr>
          <w:b/>
        </w:rPr>
        <w:t>E. 3.1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w:t>
      </w:r>
    </w:p>
    <w:p>
      <w:r>
        <w:t>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arrêt 6B_849/2018 du 9 novembre 2018 consid. 3.1).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3.2</w:t>
      </w:r>
    </w:p>
    <w:p>
      <w:r>
        <w:t>L' art. 111 CP punit d'une peine privative de liberté de cinq ans au moins celui qui aura intentionnellement tué une personne. 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w:t>
      </w:r>
    </w:p>
    <w:p>
      <w:r>
        <w:t>Déterminer ce qu'une personne a su, envisagé, voulu ou accepté relève des constatations de fait ( ATF 142 IV 137 consid. 12 p. 152; 141 IV 369 consid. 6.3 p. 375); est en revanche une question de droit celle de savoir si l'autorité cantonale s'est fondée sur une juste conception du dol éventuel et si elle l'a correctement appliquée au vu des éléments retenus ( ATF 135 IV 152 consid. 2.3.2 p. 156). Il y a dol éventuel lorsque l'auteur envisage le résultat dommageable, mais agit néanmoins,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w:t>
      </w:r>
    </w:p>
    <w:p>
      <w:r>
        <w:rPr>
          <w:b/>
        </w:rPr>
        <w:t>E. 3.3</w:t>
      </w:r>
    </w:p>
    <w:p>
      <w:r>
        <w:t>La cour cantonale a exposé que si la préparation du matériel et des produits qui allaient être utilisés lors de l'intervention chirurgicale incombait à l'infirmière B.________, celle-ci devait, à cet égard, se fonder tant sur son expérience que sur la fiche de réservation du chirurgien et sur la feuille manuscrite relative au praticien et au type d'opération envisagé. E.________ était le seul médecin de X.________ SA à recourir, pour le type d'intervention en cause, à l'acide acétique en lien avec le bleu de toluidine, les autres chirurgiens utilisant de l'eau. Il n'avait pas mentionné ce produit sur sa fiche de réservation. L'acide acétique ne figurait pas non plus de manière claire sur la fiche de préparation officieuse relative aux "panendoscopies MLS", puisqu'il n'était pas évoqué parmi les produits de base mais mentionné en fin de page, associé au bleu de toluidine, sous l'intitulé "oesophagoscopie", opération qui n'était pas celle que devait subir le recourant. Dans ces conditions, il ne pouvait être reproché à B.________ d'avoir, malgré son expérience, omis de préparer sur son chariot la bouteille d'acide acétique ou de réviser le contenu dudit chariot. Hormis le flacon d'acide acétique utilisé lors de l'intervention, il n'y avait jamais eu qu'une dilution d'acide acétique disponible au sein de la clinique, soit celle à 3%, de même qu'une seule bouteille de ce produit dans la pharmacie du bloc opératoire. Le processus de commande mis en place au sein de la clinique impliquait par ailleurs plusieurs contrôles, effectués par du personnel compétent, avant qu'un produit ne soit placé dans la pharmacie du bloc. B.________ pouvait dès lors légitimement s'attendre à ce que le contenu de la bouteille qu'elle avait demandée à l'aide-soignante aurait les caractéristiques requises pour l'utilisation prévue. La prénommée n'avait ainsi aucunement envisagé qu'une bouteille d'acide acétique à une concentration susceptible de mettre en danger la santé voire la vie des patients pût se trouver par erreur dans la pharmacie du bloc opératoire. Par ailleurs, rien ne permettait de retenir qu'en ne divulguant pas l'information selon laquelle une erreur aurait été commise celle-ci se serait accommodée d'une issue fatale, puisqu'elle savait qu'à tout le moins un médecin, soit la Dresse I.________, se préoccupait de cette problématique, et qu'elle n'ignorait pas que le recourant avait été transféré aux Hôpitaux F.________.</w:t>
      </w:r>
    </w:p>
    <w:p>
      <w:r>
        <w:t>Concernant D.________, pharmacienne répondante et responsable de la pharmacie centrale de la clinique, la cour cantonale a exposé qu'il incombait à celle-ci, à l'époque de la commande de l'acide acétique, d'organiser et de contrôler l'approvisionnement de X.________ SA en médicaments et d'assurer leur stockage ainsi que leur distribution. La traçabilité des commandes au sein de la clinique était assurée au sein du système "J.________". Les qualifications des collaborateurs de D.________ au sein de la pharmacie centrale, en particulier leur aptitude à vérifier la correspondance entre les produits commandés et ceux livrés par les fournisseurs, n'avaient pas été discutées. Un contrôle supplémentaire était effectué par le responsable du bloc opératoire. Un inventaire des produits en stock, tant à la pharmacie centrale qu'à la pharmacie du bloc, était en outre dressé deux fois par année. D.________ était absente le jour où le flacon d'acide acétique à 98% avait été livré et n'avait ainsi pu réaliser que celui-ci avait transité par la pharmacie centrale de la clinique. Enfin, rien ne permettait de retenir que la prénommée avait accepté qu'une éventuelle omission de sa part puisse conduire au décès du recourant, son comportement ayant au contraire dénoté ses préoccupations et sa volonté d'éviter tout accident.</w:t>
      </w:r>
    </w:p>
    <w:p>
      <w:r>
        <w:rPr>
          <w:b/>
        </w:rPr>
        <w:t>E. 3.4</w:t>
      </w:r>
    </w:p>
    <w:p>
      <w:r>
        <w:t>Le recourant soutient que B.________ aurait dû, compte tenu du caractère corrosif de l'acide acétique, faire preuve d'une "attention particulièrement accrue" durant l'opération. On peine à comprendre ce qu'il reproche exactement à la prénommée, étant rappelé que l' art. 111 CP constitue une infraction intentionnelle et non par négligence.</w:t>
      </w:r>
    </w:p>
    <w:p>
      <w:r>
        <w:t>Le recourant affirme ensuite que lorsque "la Clinique et les intervenants individualisés prennent la décision de ne pas communiquer la grave erreur médicale aux ambulanciers et aux Hôpitaux F.________, ils ont admis, à tout le moins par dol éventuel, l'éventualité que le patient pouvait décéder, par défaut de la connaissance de l'erreur médicale à tout le moins". Il ne ressort aucunement de l'état de fait de la cour cantonale, par lequel le Tribunal fédéral est lié (cf. art. 105 al. 1 LTF ), que B.________ aurait été informée des conséquences possibles de l'erreur dont avait été victime le recourant, qu'elle aurait d'une quelconque manière envisagé son décès ou s'en serait accommodée. On ne voit pas comment la prénommée, infirmière, aurait pu remplir les éléments constitutifs d'une tentative de meurtre en s'abstenant de prendre spontanément contact avec les Hôpitaux F.________ afin de leur signaler l'existence d'une erreur médicale, dont elle n'avait pas les compétences pour saisir la portée et qui lui avait été signalée par l'anesthésiste ayant pris part à l'opération.</w:t>
      </w:r>
    </w:p>
    <w:p>
      <w:r>
        <w:t>Concernant D.________, le recourant mélange des considérations relatives à la négligence et au dol éventuel, pour conclure que la prénommée n'aurait pas fait montre de diligence dans la gestion de la pharmacie de la clinique et aurait, par conséquent, "accepté que son inaction aurait amené à engager le pronostic vital du patient". Ici encore, on ne voit pas comment D.________, dont il ne ressort pas de l'état de fait de la cour cantonale qu'elle aurait eu connaissance de l'erreur médicale dont a été victime le recourant au moment où celui-ci était traité aux Hôpitaux F.________, aurait pu agir - par commission ou omission - en s'accommodant du décès de l'intéressé.</w:t>
      </w:r>
    </w:p>
    <w:p>
      <w:r>
        <w:t>A défaut des éléments constitutifs d'une infraction de tentative de meurtre, un acquittement de B.________ et D.________ apparaît plus vraisemblable qu'une condamnation. La cour cantonale n'a, partant, nullement violé le droit fédéral en confirmant le classement de la procédure sur ce point. Le grief doit être rejeté dans la mesure où il est recevable.</w:t>
      </w:r>
    </w:p>
    <w:p>
      <w:r>
        <w:rPr>
          <w:b/>
        </w:rPr>
        <w:t>E. 4</w:t>
      </w:r>
    </w:p>
    <w:p>
      <w:r>
        <w:t>Le recourant demande par ailleurs au Tribunal fédéral de constater une violation du principe de célérité, dès lors que la prescription de l'action pénale, s'agissant de l'infraction à l' art. 125 CP , qu'il reproche aux intimées a été acquise en cours de procédure.</w:t>
      </w:r>
    </w:p>
    <w:p>
      <w:r>
        <w:t>L'intérêt juridique du recourant concernant une telle conclusion paraît douteux. La question peut cependant être laissée ouverte, le grief étant de toute manière irrecevable.</w:t>
      </w:r>
    </w:p>
    <w:p>
      <w:r>
        <w:t>En effet, le recourant se plaint de la "longueur" de la procédure préliminaire conduite par le ministère public depuis 2012 ainsi que du temps écoulé entre le dépôt de sa plainte et la délivrance des ordonnances de classement du 6 octobre 2017. Il ne prétend pas, en revanche - et ne présente à cet égard aucune motivation répondant aux exigences de l' art. 42 al. 2 LTF -, que la cour cantonale aurait violé le principe de célérité entre le dépôt de ses recours formés contre les ordonnances précitées et le prononcé de l'arrêt attaqué. Ainsi, le recourant pouvait, dans les recours en question, se plaindre d'une éventuelle violation du principe de célérité par le ministère public. Or, l'intéressé n'a pas soulevé un tel grief devant l'autorité précédente, laquelle n'a aucunement examiné la question. Il n'appartient pas au Tribunal fédéral de se prononcer pour la première fois sur la question d'une éventuelle violation du principe de célérité par le ministère public. Le grief est donc irrecevable, faute d'épuisement des instances cantonales (cf. art. 80 al. 1 LTF ).</w:t>
      </w:r>
    </w:p>
    <w:p>
      <w:r>
        <w:rPr>
          <w:b/>
        </w:rPr>
        <w:t>E. 5</w:t>
      </w:r>
    </w:p>
    <w:p>
      <w:r>
        <w:t>Au vu de ce qui précède, le recours doit être rejeté dans la mesure où il est recevable. Le recourant, qui succombe, supporte les frais judiciaires ( art. 66 al. 1 LTF ). Les intimées, qui n'ont pas été invitées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