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6B_44/2021 vom 17. Februar 2021</w:t>
      </w:r>
    </w:p>
    <w:p>
      <w:r>
        <w:t>Bundesgericht, 2021-02-17, DE</w:t>
      </w:r>
    </w:p>
    <w:p>
      <w:r>
        <w:rPr>
          <w:b/>
        </w:rPr>
        <w:t xml:space="preserve">Quelle: </w:t>
      </w:r>
      <w:r>
        <w:t>https://mcp.opencaselaw.ch/entscheid/bger_6B_44_2021</w:t>
      </w:r>
    </w:p>
    <w:p>
      <w:r>
        <w:t>FR: TF 6B_44/2021 du 17 février 2021</w:t>
      </w:r>
    </w:p>
    <w:p>
      <w:r>
        <w:t>IT: TF 6B_44/2021 del 17 febbraio 2021</w:t>
      </w:r>
    </w:p>
    <w:p>
      <w:pPr>
        <w:pStyle w:val="Heading2"/>
      </w:pPr>
      <w:r>
        <w:t>Erwägungen</w:t>
      </w:r>
    </w:p>
    <w:p>
      <w:r>
        <w:rPr>
          <w:b/>
        </w:rPr>
        <w:t>E. 1</w:t>
      </w:r>
    </w:p>
    <w:p>
      <w:r>
        <w:t>B.________</w:t>
      </w:r>
    </w:p>
    <w:p>
      <w:r>
        <w:rPr>
          <w:b/>
        </w:rPr>
        <w:t>E. 2</w:t>
      </w:r>
    </w:p>
    <w:p>
      <w:r>
        <w:t>Nach Art. 42 Abs. 2 BGG ist in der Begründung der Beschwerde an das Bundesgericht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rPr>
          <w:b/>
        </w:rPr>
        <w:t>E. 3</w:t>
      </w:r>
    </w:p>
    <w:p>
      <w:r>
        <w:t>Der Beschwerdeführer ist mit dem ihm vorinstanzlich zugesprochenen Schadenersatz nicht einverstanden. Er verlangt ein "Minimum von 400'000.-- Franken". Inwiefern er damit vor Bundesgericht ein neues und mithin unzulässiges Begehren im Sinn von Art. 99 BGG stellt, kann offen bleiben, weil auf seine Beschwerde so oder anders nicht eingetreten werden kann, weil diese die gesetzlichen Begründungsanforderungen nicht erfüllt. Mangels einer tauglichen Begründung ist darauf im Verfahren nach Art. 108 BGG nicht einzutreten, wobei auf die Erhebung von Gerichtskosten ausnahmsweise zu verzichten ist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