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44/2017 vom 4. April 2017</w:t>
      </w:r>
    </w:p>
    <w:p>
      <w:r>
        <w:t>Bundesgericht, 2017-04-04, FR</w:t>
      </w:r>
    </w:p>
    <w:p>
      <w:r>
        <w:rPr>
          <w:b/>
        </w:rPr>
        <w:t xml:space="preserve">Quelle: </w:t>
      </w:r>
      <w:r>
        <w:t>https://mcp.opencaselaw.ch/entscheid/bger_6B_44_2017</w:t>
      </w:r>
    </w:p>
    <w:p>
      <w:r>
        <w:t>FR: TF 6B 44/2017 du 4 avril 2017</w:t>
      </w:r>
    </w:p>
    <w:p>
      <w:r>
        <w:t>IT: TF 6B 44/2017 del 4 aprile 2017</w:t>
      </w:r>
    </w:p>
    <w:p>
      <w:pPr>
        <w:pStyle w:val="Heading2"/>
      </w:pPr>
      <w:r>
        <w:t>Regeste</w:t>
      </w:r>
    </w:p>
    <w:p>
      <w:r>
        <w:t>Révision, récusation en bloc | Procédure pénale</w:t>
      </w:r>
    </w:p>
    <w:p>
      <w:pPr>
        <w:pStyle w:val="Heading2"/>
      </w:pPr>
      <w:r>
        <w:t>Erwägungen</w:t>
      </w:r>
    </w:p>
    <w:p>
      <w:r>
        <w:rPr>
          <w:b/>
        </w:rPr>
        <w:t>E. 1</w:t>
      </w:r>
    </w:p>
    <w:p>
      <w:r>
        <w:t>Par jugement du 26 octobre 2016, la Cour d'appel pénale du Tribunal cantonal vaudois a rejeté la demande tendant à la récusation de l'ensemble de la magistrature vaudoise formée par X.________, considérant que celui-ci n'invoquait aucun motif de nature à fonder une telle mesure, pas plus qu'il ne rendait vraisemblable l'existence d'un quelconque élément de prévention à son encontre de la part des membres de l'ordre judiciaire. En outre, la cour cantonale a déclaré irrecevable la demande tendant à la révision du jugement rendu à l'encontre du prénommé le 24 novembre 2006 par le Tribunal correctionnel de l'arrondissement de Lausanne. En bref, elle a retenu que X.________ n'invoquait aucun fait ou moyen de preuve nouveau susceptible de motiver son acquittement ou une condamnation moins sévère.</w:t>
      </w:r>
    </w:p>
    <w:p>
      <w:r>
        <w:rPr>
          <w:b/>
        </w:rPr>
        <w:t>E. 2</w:t>
      </w:r>
    </w:p>
    <w:p>
      <w:r>
        <w:t>X.________ recourt en matière pénale contre le jugement du 26 octobre 2016. Dans ce cadre, il requiert la récusation en bloc de tous les magistrats du Tribunal fédéral et le bénéfice de l'assistance judiciaire.</w:t>
      </w:r>
    </w:p>
    <w:p>
      <w:r>
        <w:rPr>
          <w:b/>
        </w:rPr>
        <w:t>E. 3</w:t>
      </w:r>
    </w:p>
    <w:p>
      <w:r>
        <w:t>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notamment d'une prétendue appartenance franc-maçonne de ses magistrats, de sorte que sa requête de récusation est manifestement abusive et, par conséquent, irrecevable.</w:t>
      </w:r>
    </w:p>
    <w:p>
      <w:r>
        <w:rPr>
          <w:b/>
        </w:rPr>
        <w:t>E. 4</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Se fondant sur une prétendue appartenance franc-maçonne des magistrats vaudois, le recourant reproche à ces derniers d'avoir tranché eux-mêmes la demande de récusation les frappant. Il livre également diverses critiques personnelles à l'encontre des juges ayant prononcé l'arrêt attaqué. En outre, il fait grief à la juridiction cantonale d'avoir statué dans un seul et même prononcé sur ses demandes de récusation et de révision et qualifie d'arbitraire la sanction d'irrecevabilité frappant celle-ci. Ce faisant, il ne se détermine pas sur les considérations cantonales susmentionnées (cf. consid. 1 supra), dont il ne démontre pas en quoi elles seraient contraires au droit, étant précisé qu'il n'existe aucune incompatibilité à examiner dans un même acte une demande de récusation et une demande de révision. En particulier, il ne se prévaut d'aucun grief recevable quant à une supposée violation de la garantie du juge indépendant et impartial. Cela étant, il ne formule aucune conclusion ni argumentation topique recevables au sens des art. 42 al. 1 et 2, ainsi que 106 al. 2 LTF, de sorte que la présente écriture, qui ne satisfait pas aux exigences de motivation d'un recours en matière pénale au Tribunal fédéral, doit être écartée en application de la procédure simplifiée prévue à l' art. 108 al. 1 let. b LTF .</w:t>
      </w:r>
    </w:p>
    <w:p>
      <w:r>
        <w:rPr>
          <w:b/>
        </w:rPr>
        <w:t>E. 5</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