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6B_448/2016 vom 18. November 2016</w:t>
      </w:r>
    </w:p>
    <w:p>
      <w:r>
        <w:t>Bundesgericht, 2016-11-18, FR</w:t>
      </w:r>
    </w:p>
    <w:p>
      <w:r>
        <w:rPr>
          <w:b/>
        </w:rPr>
        <w:t xml:space="preserve">Quelle: </w:t>
      </w:r>
      <w:r>
        <w:t>https://mcp.opencaselaw.ch/entscheid/bger_6B_448_2016</w:t>
      </w:r>
    </w:p>
    <w:p>
      <w:r>
        <w:t>FR: TF 6B_448/2016 du 18 novembre 2016</w:t>
      </w:r>
    </w:p>
    <w:p>
      <w:r>
        <w:t>IT: TF 6B_448/2016 del 18 novembre 2016</w:t>
      </w:r>
    </w:p>
    <w:p>
      <w:pPr>
        <w:pStyle w:val="Heading2"/>
      </w:pPr>
      <w:r>
        <w:t>Erwägungen</w:t>
      </w:r>
    </w:p>
    <w:p>
      <w:r>
        <w:rPr>
          <w:b/>
        </w:rPr>
        <w:t>E. 1</w:t>
      </w:r>
    </w:p>
    <w:p>
      <w:r>
        <w:t>Le recourant reproche à la cour cantonale d'avoir violé l' art. 47 CP .</w:t>
      </w:r>
    </w:p>
    <w:p>
      <w:r>
        <w:rPr>
          <w:b/>
        </w:rPr>
        <w:t>E. 1.1</w:t>
      </w:r>
    </w:p>
    <w:p>
      <w:r>
        <w:t>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et les références citées).</w:t>
      </w:r>
    </w:p>
    <w:p>
      <w:r>
        <w:t>En vertu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 ATF 127 IV 101 consid. 2b p. 104; plus récemment arrêt 6B_28/2016 du 10 octobre 2016 consid. 5.1).</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et les références citées).</w:t>
      </w:r>
    </w:p>
    <w:p>
      <w:r>
        <w:t>Dans sa décision, le juge doit exposer les éléments essentiels relatifs à l'acte ou à l'auteur qu'il prend en compte ( art. 50 CP ). Ainsi, le condamné doit connaître les aspects pertinents qui ont été pris en considération et comment ils ont été appréciés. Le juge peut passer sous silence les éléments qui, sans abus du pouvoir d'appréciation, lui apparaissent non pertinents ou d'une importance mineure. La motivation doit justifier la peine prononcée, en permettant de suivre le raisonnement adopté ( ATF 134 IV 17 consid. 2.1 p. 20; cf. également ATF 141 IV 244 consid. 1.2.2 p. 246). Cependant, le juge n'est pas tenu d'exprimer en chiffres ou en pourcentages l'importance qu'il accorde à chacun des éléments qu'il cite ( ATF 136 IV 55 consid. 5.6 p. 61). Plus la peine est élevée, plus la motivation doit être complète; cela vaut surtout lorsque la peine, dans le cadre légal, apparaît comparativement très élevée (arrêt 6B_642/2012 du 22 janvier 2013 consid. 2.1.4). Un recours ne saurait toutefois être admis simplement pour améliorer ou compléter un considérant lorsque la décision rendue apparaît conforme au droit ( ATF 127 IV 101 consid. 2c p. 105 et les références citées; plus récemment arrêt 6B_28/2016 du 10 octobre 2016 consid. 5.1).</w:t>
      </w:r>
    </w:p>
    <w:p>
      <w:r>
        <w:rPr>
          <w:b/>
        </w:rPr>
        <w:t>E. 1.2</w:t>
      </w:r>
    </w:p>
    <w:p>
      <w:r>
        <w:t>La cour cantonale a qualifié de grave la culpabilité du recourant et a relevé qu'il avait déjà été condamné en 2000 à une peine privative de liberté de 6 ans pour des faits comparables, à savoir trois brigandages qualifiés et trois tentatives de brigandages. Elle a par ailleurs tenu compte du fait que les infractions retenues à l'encontre du recourant entrent en concours, que sa responsabilité est entière et qu'il ne peut être mis au bénéfice d'aucune circonstance atténuante.</w:t>
      </w:r>
    </w:p>
    <w:p>
      <w:r>
        <w:rPr>
          <w:b/>
        </w:rPr>
        <w:t>E. 1.3</w:t>
      </w:r>
    </w:p>
    <w:p>
      <w:r>
        <w:t>Le recourant soutient que la peine qui lui a été infligée est excessive. Il estime que la cour cantonale s'est écartée sans raison des minima prévus par les art. 140 ch. 1 et 185 CP et a accordé une trop grande importance à ses antécédents pénaux.</w:t>
      </w:r>
    </w:p>
    <w:p>
      <w:r>
        <w:rPr>
          <w:b/>
        </w:rPr>
        <w:t>E. 1.4</w:t>
      </w:r>
    </w:p>
    <w:p>
      <w:r>
        <w:t>C'est à juste titre que la cour cantonale a tenu compte du concours entre les diverses infractions imputées au recourant. Dans le cas d'espèce, l'infraction la plus grave est la prise d'otage ( art. 185 ch. 1 CP ), qui est passible d'une peine privative de liberté d'un an au moins, le cadre légal pour cette seule infraction allant jusqu'à vingt ans ( art. 40 CP ). Cette infraction entre en concours avec plusieurs autres, dont certaines sont graves également, telles le brigandage et les actes préparatoires délictueux de brigandage. Pour ce motif déjà, il était pleinement justifié de s'écarter de la peine minimale prévue pour l'infraction la plus grave. Par ailleurs, c'est à juste titre que la cour cantonale a pris en considération les mobiles purement égoïstes du recourant, qui a agi dans le seul but de se procurer de l'argent facilement. Enfin, on ne saurait faire grief à la cour cantonale d'avoir considéré que les antécédents du recourant sont mauvais. Le fait qu'il ait récidivé en commettant à deux reprises des infractions du même genre que celles qui lui avaient déjà valu une condamnation à une peine privative de liberté de 6 ans montre bien que seule une sanction d'une certaine sévérité est de nature à lui faire prendre conscience de la gravité de ses actes.</w:t>
      </w:r>
    </w:p>
    <w:p>
      <w:r>
        <w:t>Il y a dès lors lieu de constater que la cour cantonale s'est fondée sur des éléments pertinents. Par ailleurs, le recourant ne cite aucun élément important, propre à influer sur la quotité de la peine, qui aurait été omis à tort. Enfin, compte tenu de l'ensemble des circonstances évoquées ci-dessus, la peine infligée au recourant n'apparaît pas exagérément sévère au point de constituer un abus du large pouvoir d'appréciation dont disposait l'autorité précédente.</w:t>
      </w:r>
    </w:p>
    <w:p>
      <w:r>
        <w:rPr>
          <w:b/>
        </w:rPr>
        <w:t>E. 2</w:t>
      </w:r>
    </w:p>
    <w:p>
      <w:r>
        <w:t>Le recourant sollicite en outre l'octroi du sursis partiel. Comme la peine infligée au recourant sans violation du droit fédéral dépasse la limite de trois ans prévue à l' art. 43 al. 1 CP , le prononcé d'un sursis partiel n'est pas envisageable.</w:t>
      </w:r>
    </w:p>
    <w:p>
      <w:r>
        <w:rPr>
          <w:b/>
        </w:rPr>
        <w:t>E. 3</w:t>
      </w:r>
    </w:p>
    <w:p>
      <w:r>
        <w:t>Mal fondé, le recours doit être rejeté. Comme les conclusions du recours étaient dépourvues de chances de succès, l'assistance judiciaire ne peut être accordée ( art. 64 al. 1 LTF ). Par conséquent,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