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448/2014 vom 30. Oktober 2014</w:t>
      </w:r>
    </w:p>
    <w:p>
      <w:r>
        <w:t>Bundesgericht, 2014-10-30, FR</w:t>
      </w:r>
    </w:p>
    <w:p>
      <w:r>
        <w:rPr>
          <w:b/>
        </w:rPr>
        <w:t xml:space="preserve">Quelle: </w:t>
      </w:r>
      <w:r>
        <w:t>https://mcp.opencaselaw.ch/entscheid/bger_6B_448_2014</w:t>
      </w:r>
    </w:p>
    <w:p>
      <w:r>
        <w:t>FR: TF 6B 448/2014 du 30 octobre 2014</w:t>
      </w:r>
    </w:p>
    <w:p>
      <w:r>
        <w:t>IT: TF 6B 448/2014 del 30 ottobre 2014</w:t>
      </w:r>
    </w:p>
    <w:p>
      <w:pPr>
        <w:pStyle w:val="Heading2"/>
      </w:pPr>
      <w:r>
        <w:t>Regeste</w:t>
      </w:r>
    </w:p>
    <w:p>
      <w:r>
        <w:t>Ordonnance pénale, notification | Procédure pénale</w:t>
      </w:r>
    </w:p>
    <w:p>
      <w:pPr>
        <w:pStyle w:val="Heading2"/>
      </w:pPr>
      <w:r>
        <w:t>Erwägungen</w:t>
      </w:r>
    </w:p>
    <w:p>
      <w:r>
        <w:rPr>
          <w:b/>
        </w:rPr>
        <w:t>E. 1</w:t>
      </w:r>
    </w:p>
    <w:p>
      <w:r>
        <w:t>Le recourant conteste que l'ordonnance pénale soit réputée notifiée à l'échéance du délai de garde de sept jours. Il estime que la fiction de la notification ne saurait trouver application en matière pénale. En tout état, il affirme qu'il ne pouvait pas s'attendre à la notification d'une ordonnance pénale.</w:t>
      </w:r>
    </w:p>
    <w:p>
      <w:r>
        <w:rPr>
          <w:b/>
        </w:rPr>
        <w:t>E. 1.1</w:t>
      </w:r>
    </w:p>
    <w:p>
      <w:r>
        <w:t>Selon l' art. 85 al. 4 let. a CPP , un prononcé est réputé notifié lorsque, expédié par lettre signature, il n'a pas été retiré dans les sept jours à compter de la tentative infructueuse de remise du pli, si la personne concernée devait s'attendre à une telle remise. Cette disposition reprend les principes développés par la jurisprudence et qui prévalaient avant l'entrée en vigueur du code de procédure pénale suisse le 1 er janvier 2011 (arrêt 6B_422/2011 du 7 octobre 2011 consid. 1.2; cf. ATF 134 V 49 consid. 4 p. 51 s.; 130 III 396 consid. 1.2.3 p. 399). La personne concernée doit s'attendre à la remise d'un prononcé uniquement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 ATF 130 III 396 consid. 1.2.3 p. 399).</w:t>
      </w:r>
    </w:p>
    <w:p>
      <w:r>
        <w:rPr>
          <w:b/>
        </w:rPr>
        <w:t>E. 1.2</w:t>
      </w:r>
    </w:p>
    <w:p>
      <w:r>
        <w:t>Au vu de la jurisprudence précitée et dans la mesure où l' art. 85 al. 4 let. a CPP prévoit expressément la fiction de la notification des prononcés expédiés par lettre signature, le recourant se méprend lorsqu'il affirme que celle-ci ne trouve pas application en matière pénale "selon certaines jurisprudences". En l'occurrence, à la suite de son interpellation le jour des faits reprochés, le recourant a été entendu par la police en qualité de prévenu (cf. art. 107, 113, 157 et ss CPP) de tentative de vol et violation de domicile (cf. PV d'audition du 6 novembre 2013). A cette occasion, il a signé le formulaire intitulé "droits et obligations du prévenu", lequel mentionnait notamment qu'il était partie à une procédure pénale. Il était également indiqué que les personnes résidant à l'étranger ou n'ayant pas de domicile fixe ou connu étaient tenues de désigner une personne en Suisse pour recevoir à sa place toutes correspondances, avis de procédure ou décisions concernant l'affaire en cours, les ordonnances pénales étaient par ailleurs réputées notifiées même en l'absence de publication (formulaire "droits et obligations du prévenu", signé le 6 novembre 2013). Il était ainsi expressément fait référence à la notification d'une ordonnance pénale rendue dans le cadre de la procédure. Le même jour, le recourant a indiqué son adresse à la police et a déclaré y élire domicile (formulaire "situation personnelle et financière", daté du 6 novembre 2013). Au vu de l'ensemble de ces éléments, le recourant devait se rendre compte qu'il était partie à une procédure pénale et devait donc s'attendre à recevoir dans ce cadre-là des communications de la part des autorités, y compris un prononcé (dans ce sens, cf. arrêts 6B_314/2012 du 18 février 2013 consid. 1.3.2; 6B_281/2012 du 9 octobre 2012 consid. 1.2; 6B_158/2012 du 27 juillet 2012 consid. 2.2). Le recourant n'a certes pas été informé de l'ouverture d'une procédure par le ministère public. Une telle communication n'est cependant pas nécessaire pour admettre que l'intéressé devait s'attendre à ce qu'une ordonnance pénale lui soit notifiée (cf. arrêt 6B_314/2012 du 18 février 2013 consid. 1.3.2 et les arrêts cités). En conséquence, c'est sans violation du droit fédéral que l'autorité cantonale a considéré que l'ordonnance pénale avait été notifiée à l'échéance du délai de sept jours à compter de la tentative infructueuse de remise du pli et a déclaré l'opposition irrecevable car tardive ( art. 354 CPP ).</w:t>
      </w:r>
    </w:p>
    <w:p>
      <w:r>
        <w:rPr>
          <w:b/>
        </w:rPr>
        <w:t>E. 1.3</w:t>
      </w:r>
    </w:p>
    <w:p>
      <w:r>
        <w:t>S'agissant de l'empêchement d'observer le délai d'opposition, le recourant est irrecevable à indiquer, dans son mémoire de recours auprès du Tribunal fédéral, qu'il ne se trouvait pas à Genève depuis mi-décembre en raison des fêtes de fin d'année, dans la mesure où cela ne ressort pas de l'arrêt entrepris ( art. 99 al. 1 LTF ). En tout état, il ne formule aucune conclusion relative à la restitution du délai d'opposition.</w:t>
      </w:r>
    </w:p>
    <w:p>
      <w:r>
        <w:rPr>
          <w:b/>
        </w:rPr>
        <w:t>E. 1.4</w:t>
      </w:r>
    </w:p>
    <w:p>
      <w:r>
        <w:t>Le recourant fait valoir que c'est en violation de son droit d'être entendu et de celui d'être jugé par un tribunal indépendant que l'ordonnance pénale lui a été adressée, dans la mesure où il n'a pas été entendu par un magistrat mais uniquement par la police. Dès lors que les juges cantonaux ont déclaré l'opposition à l'ordonnance pénale tardive partant irrecevable, seule la question de la recevabilité de l'opposition peut être portée devant le Tribunal fédéral qui n'a, à ce stade, pas à examiner le fond de la contestation. Les griefs du recourant portant sur le fond du litige sont donc irrecevables ( ATF 133 II 409 consid. 1.4 p. 414; 133 III 489 consid. 3.1 p. 489 s.; arrêt 6B_252/2013 du 14 mai 2013 consid. 1.2). Le recourant se livre enfin à une présentation personnelle des faits de la cause sur lesquels il n'y a pas lieu d'entrer en matière, puisqu'il ne prétend pas que ceux retenus par l'autorité cantonale auraient été établis de manière arbitraire ( art. 106 al. 2 LTF ).</w:t>
      </w:r>
    </w:p>
    <w:p>
      <w:r>
        <w:rPr>
          <w:b/>
        </w:rPr>
        <w:t>E. 2</w:t>
      </w:r>
    </w:p>
    <w:p>
      <w:r>
        <w:t>Au vu de ce qui précède, le recours doit être rejeté dans la mesure où il est recevable. Comme ses conclusions étaient manifestement dénuées de chance de succès, le recourant doit être débouté de sa demande d'assistance judiciaire ( art. 64 al. 1 LTF ) et supporter les frais de justice, qui seront fixés en tenant compte de sa situation financière ( art. 65 al. 2 et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