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6B_447/2016 vom 24. Mai 2016</w:t>
      </w:r>
    </w:p>
    <w:p>
      <w:r>
        <w:t>Bundesgericht, 2016-05-24, DE</w:t>
      </w:r>
    </w:p>
    <w:p>
      <w:r>
        <w:rPr>
          <w:b/>
        </w:rPr>
        <w:t xml:space="preserve">Quelle: </w:t>
      </w:r>
      <w:r>
        <w:t>https://mcp.opencaselaw.ch/entscheid/bger_6B_447_2016</w:t>
      </w:r>
    </w:p>
    <w:p>
      <w:r>
        <w:t>FR: TF 6B_447/2016 du 24 mai 2016</w:t>
      </w:r>
    </w:p>
    <w:p>
      <w:r>
        <w:t>IT: TF 6B_447/2016 del 24 maggio 2016</w:t>
      </w:r>
    </w:p>
    <w:p>
      <w:pPr>
        <w:pStyle w:val="Heading2"/>
      </w:pPr>
      <w:r>
        <w:t>Erwägungen</w:t>
      </w:r>
    </w:p>
    <w:p>
      <w:r>
        <w:rPr>
          <w:b/>
        </w:rPr>
        <w:t>E. 1</w:t>
      </w:r>
    </w:p>
    <w:p>
      <w:r>
        <w:t>Dem Beschwerdeführer wird vorgeworfen, am 5. Dezember 2014 in Herbetswil die zulässige Höchstgeschwindigkeit von 80 km/h um 51 km/h überschritten zu haben. Das Obergericht des Kantons Solothurn verurteilte ihn am 23. Februar 2016 im Berufungsverfahren wegen fahrlässiger grober Verletzung der Verkehrsregeln zu einer Geldstrafe von 130 Tagessätzen zu Fr. 60.--, bedingt aufgeschoben bei einer Probezeit von zwei Jahren, sowie zu einer Busse von Fr. 1'500.-- bzw. einer Ersatzfreiheitsstrafe von 25 Tagen.</w:t>
      </w:r>
    </w:p>
    <w:p>
      <w:r>
        <w:t>Der Beschwerdeführer wendet sich ans Bundesgericht, ohne einen ausdrücklichen Antrag zu stellen. Offensichtlich strebt er einen Freispruch an.</w:t>
      </w:r>
    </w:p>
    <w:p>
      <w:r>
        <w:rPr>
          <w:b/>
        </w:rPr>
        <w:t>E. 2</w:t>
      </w:r>
    </w:p>
    <w:p>
      <w:r>
        <w:t>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w:t>
      </w:r>
    </w:p>
    <w:p>
      <w:r>
        <w:t>Der Beschwerdeführer bestreitet, mit der ihm vorgeworfenen Geschwindigkeit gefahren zu sein. Die Vorinstanz hat sich mit der Würdigung der Beweise befasst (vgl. Urteil S. 4/5 E. II). Was der Beschwerdeführer vorbringt, ist nicht geeignet, der Vorinstanz Willkür im oben umschriebenen Sinn nachzuweisen. Er wiederholt einfach einige der Vorbringen, die er schon im kantonalen Verfahren geltend gemacht hat. So behauptet er z.B. auch vor Bundesgericht, die Wetterverhältnisse seien schlecht gewesen und es sei eine Mischung aus Schnee und Regen gefallen. Demgegenüber stellt die Vorinstanz auf den Polizeirapport ab, wonach die Witterungsverhätnisse trocken und bewölkt waren (Urteil S. 5). Inwieweit diese Beweiswürdigung willkürlich sein könnte, ist der Beschwerde nicht zu entnehmen. Darauf ist mangels einer tauglichen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