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6B_447/2015 vom 14. Oktober 2015</w:t>
      </w:r>
    </w:p>
    <w:p>
      <w:r>
        <w:t>Bundesgericht, 2015-10-14, DE</w:t>
      </w:r>
    </w:p>
    <w:p>
      <w:r>
        <w:rPr>
          <w:b/>
        </w:rPr>
        <w:t xml:space="preserve">Quelle: </w:t>
      </w:r>
      <w:r>
        <w:t>https://mcp.opencaselaw.ch/entscheid/bger_6B_447_2015</w:t>
      </w:r>
    </w:p>
    <w:p>
      <w:r>
        <w:t>FR: TF 6B_447/2015 du 14 octobre 2015</w:t>
      </w:r>
    </w:p>
    <w:p>
      <w:r>
        <w:t>IT: TF 6B_447/2015 del 14 ottobre 2015</w:t>
      </w:r>
    </w:p>
    <w:p>
      <w:pPr>
        <w:pStyle w:val="Heading2"/>
      </w:pPr>
      <w:r>
        <w:t>Erwägungen</w:t>
      </w:r>
    </w:p>
    <w:p>
      <w:r>
        <w:rPr>
          <w:b/>
        </w:rPr>
        <w:t>E. 1.1</w:t>
      </w:r>
    </w:p>
    <w:p>
      <w:r>
        <w:t>Der Beschwerdeführer rügt, die Voraussetzungen für einen Widerruf des bedingten Strafvollzugs seien nicht erfüllt. Es könne keine Schlechtprognose gestellt werden. Er habe den Wiedereinstieg in das Arbeitsleben gefunden. Werde die Vorstrafe nicht vollzogen, seien "eher keine" weiteren Straftaten zu erwarten, weil nur so ein Strafvollzug mit elektronischer Überwachung möglich sei, welcher den Erhalt der Arbeitstätigkeit des Beschwerdeführers zulasse. Der Vollzug der Vorstrafe würde den Wiedereinstieg in das Berufsleben zu Fall bringen, was sich auf die Bewährungsaussichten negativ auswirken würde. Die Vorinstanz berücksichtige nicht hinreichend, dass sich der Beschwerdeführer aus der kriminellen Vergangenheit verabschiedet habe. Sie lege zu viel Gewicht auf die Tatsache, dass er das neu zu beurteilende Delikt kurze Zeit nach der Entlassung aus der Untersuchungshaft begangen habe. Es sei eine Gesamtbeurteilung der prognoserelevanten Faktoren vorzunehmen und dürfe nicht einseitig auf die erneute Delinquenz während der Probezeit abgestellt werden, zumal sich der Beschwerdeführer seit bald 4 Jahren wohl verhalten habe. Zudem sei der anstehende Vollzug der neu ausgesprochenen unbedingten Freiheitsstrafe in Bezug auf die Bewährungsaussichten als positiver Faktor zu berücksichtigen. Schliesslich sei der Anspruch des Beschwerdeführers auf rechtliches Gehör verletzt, da die Vorinstanz den Widerruf der bedingt ausgesprochenen Vorstrafe nur ungenügend begründe.</w:t>
      </w:r>
    </w:p>
    <w:p>
      <w:r>
        <w:rPr>
          <w:b/>
        </w:rPr>
        <w:t>E. 1.2</w:t>
      </w:r>
    </w:p>
    <w:p>
      <w:r>
        <w:t>Hat sich der Verurteilte bis zum Ablauf der Probezeit bewährt, so wird die aufgeschobene Strafe nicht mehr vollzogen ( Art. 45 StGB ).</w:t>
      </w:r>
    </w:p>
    <w:p>
      <w:r>
        <w:t>Begeht der Verurteilte während der Probezeit ein Verbrechen oder Vergehen und ist deshalb zu erwarten, dass er weitere Straftaten verüben wird, so widerruft das Gericht die bedingte Strafe oder den bedingten Teil der Strafe. Es kann die Art der widerrufenen Strafe ändern, um mit der neuen Strafe in sinngemässer Anwendung von Art. 49 StGB eine Gesamtstrafe zu bilden. Dabei kann es auf eine unbedingte Freiheitsstrafe nur erkennen, wenn die Gesamtstrafe mindestens sechs Monate erreicht oder die Voraussetzungen nach Art. 41 erfüllt sind ( Art. 46 Abs. 1 StGB ).</w:t>
      </w:r>
    </w:p>
    <w:p>
      <w:r>
        <w:t>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Bewährungshilfe anordnen und Weisungen erteilen. Erfolgt die Verlängerung erst nach Ablauf der Probezeit, so beginnt sie am Tag der Anordnung ( Art. 46 Abs. 2 StGB ).</w:t>
      </w:r>
    </w:p>
    <w:p>
      <w:r>
        <w:rPr>
          <w:b/>
        </w:rPr>
        <w:t>E. 1.3</w:t>
      </w:r>
    </w:p>
    <w:p>
      <w:r>
        <w:t>Massgebend für den Entscheid über den Widerruf ist, ob das neue Delikt, welches während der Probezeit aus einer früheren Verurteilung begangen wurde, erwarten lässt, der Verurteilte werde weitere Straftaten verüben. Zu widerrufen ist die bedingte Strafe nur, wenn aufgrund der erneuten Straffälligkeit eine eigentliche Schlechtprognose besteht ( BGE 134 IV 140 E. 4.3 S. 143). Die mit der Gewährung des bedingten Vollzugs abgegebene Prognose über das zukünftige Verhalten des Täters ( BGE 134 IV 60 E. 7.2 S. 73 f.) ist somit unter Berücksichtigung der neuen Straftat neu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 BGE 134 IV 140 E. 4.5 S. 144 mit Hinweisen; Urteil 6B_855/2010 vom 7. April 2011 E. 2.1 und 2.2). Im Übrigen sind die Bewährungsaussichten erneut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S. 143). Bei der Beurteilung dieser Fragen verfügt das Sachgericht über einen Ermessensspielraum, in welchen das Bundesgericht nur eingreift, wenn das Ermessen in nicht vertretbarer Weise ausgeübt wurde ( BGE 134 IV 140 E. 4.2 S. 143).</w:t>
      </w:r>
    </w:p>
    <w:p>
      <w:r>
        <w:rPr>
          <w:b/>
        </w:rPr>
        <w:t>E. 1.4</w:t>
      </w:r>
    </w:p>
    <w:p>
      <w:r>
        <w:t>Die Vorinstanz spricht die neue Freiheitsstrafe von 10 Monaten unbedingt aus und erwägt, es führe nicht zu besonders günstigen Verhältnissen, dass der Beschwerdeführer seit März 2014 temporäre Arbeitseinsätze im Stundenlohn bestreite. Denn er sei nach wie vor stark überschuldet. Er habe unmittelbar nach einer mehrmonatigen Untersuchungshaft und unbeeindruckt von mehreren Vorstrafen weiter delinquiert.</w:t>
      </w:r>
    </w:p>
    <w:p>
      <w:r>
        <w:t>Was den Vollzug der Vorstrafe von 14 Monaten betrifft, erwägt die Vorinstanz, dem Beschwerdeführer sei zwar zugute zu halten, dass er seit März 2014 gearbeitet habe. Er sei allerdings schon zuvor arbeitstätig gewesen, ohne dass ihn dies von Delikten abgehalten hätte. Er habe sich nicht um eine Verbesserung seiner Situation bemüht, indem er etwa mit dem Verein A.________ zusammengearbeitet oder seine Schulden saniert hätte. Es sei nach dem Vollzug der neu ausgesprochenen Strafe weiterhin damit zu rechnen, dass er Betäubungsmitteldelikte begehe.</w:t>
      </w:r>
    </w:p>
    <w:p>
      <w:r>
        <w:rPr>
          <w:b/>
        </w:rPr>
        <w:t>E. 1.5</w:t>
      </w:r>
    </w:p>
    <w:p>
      <w:r>
        <w:t>Indem die Vorinstanz die Vorstrafe für vollziehbar erklärt, verletzt sie ihr Ermessen nicht. Sie wendet die Begriffe gemäss Art. 42 Abs. 2 und Art. 46 Abs. 1 StGB zutreffend an. Zwar misst sie dem Umstand, dass der Beschwerdeführer kurz nach der Entlassung aus der Untersuchungshaft weiter delinquierte, einiges Gewicht zu. Doch kann nicht gesagt werden, sie hätte die erforderliche Gesamtwürdigung unterlassen und die anderen relevanten Beurteilungskriterien vernachlässigt. Insbesondere würdigt sie zutreffend, dass der Beschwerdeführer mit Strafbefehl vom 11. Oktober 2011 und 31. Mai 2012 zwei Mal verwarnt wurde.</w:t>
      </w:r>
    </w:p>
    <w:p>
      <w:r>
        <w:rPr>
          <w:b/>
        </w:rPr>
        <w:t>E. 1.6</w:t>
      </w:r>
    </w:p>
    <w:p>
      <w:r>
        <w:t>Die Vorinstanz hat ihre Begründungspflicht nicht verletzt. Sie hat die Gründe im Urteil so wiedergegeben, dass sich die richtige Anwendung des Bundesrechts überprüfen lässt ( Art. 50 StGB ; BGE 134 IV 1 E. 4.2.1 S. 5). Insbesondere hat sie entgegen den Ausführungen des Beschwerdeführers bei der Beurteilung der Bewährungsaussichten berücksichtigt, dass die neue Strafe unbedingt ausgesprochen wird.</w:t>
      </w:r>
    </w:p>
    <w:p>
      <w:r>
        <w:rPr>
          <w:b/>
        </w:rPr>
        <w:t>E. 2</w:t>
      </w:r>
    </w:p>
    <w:p>
      <w:r>
        <w:t>Die Beschwerde ist abzuweisen. Bei diesem Verfahrensausgang sind die bundesgerichtlichen Kosten dem Beschwerdeführer aufzuerlegen ( Art. 66 Abs. 1 BGG ). Da das Rechtsmittel von vornherein aussichtslos war, kann seinem Gesuch um unentgeltliche Rechtspflege nicht entsprochen werden ( Art. 64 Abs. 1 BGG ). Seinen finanziellen Verhältnissen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