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445/2022 vom 13. Mai 2022</w:t>
      </w:r>
    </w:p>
    <w:p>
      <w:r>
        <w:t>Bundesgericht, 2022-05-13, DE</w:t>
      </w:r>
    </w:p>
    <w:p>
      <w:r>
        <w:rPr>
          <w:b/>
        </w:rPr>
        <w:t xml:space="preserve">Quelle: </w:t>
      </w:r>
      <w:r>
        <w:t>https://mcp.opencaselaw.ch/entscheid/bger_6B_445_2022</w:t>
      </w:r>
    </w:p>
    <w:p>
      <w:r>
        <w:t>FR: TF 6B 445/2022 du 13 mai 2022</w:t>
      </w:r>
    </w:p>
    <w:p>
      <w:r>
        <w:t>IT: TF 6B 445/2022 del 13 maggio 2022</w:t>
      </w:r>
    </w:p>
    <w:p>
      <w:pPr>
        <w:pStyle w:val="Heading2"/>
      </w:pPr>
      <w:r>
        <w:t>Regeste</w:t>
      </w:r>
    </w:p>
    <w:p>
      <w:r>
        <w:t>Nichtanhandnahme; Nichteintreten | Strafprozess</w:t>
      </w:r>
    </w:p>
    <w:p>
      <w:pPr>
        <w:pStyle w:val="Heading2"/>
      </w:pPr>
      <w:r>
        <w:t>Erwägungen</w:t>
      </w:r>
    </w:p>
    <w:p>
      <w:r>
        <w:rPr>
          <w:b/>
        </w:rPr>
        <w:t>E. 1</w:t>
      </w:r>
    </w:p>
    <w:p>
      <w:r>
        <w:t>Das Kantonsgericht Luzern trat auf die Beschwerde gegen die von der Staatsanwaltschaft Abteilung 1 Luzern erlassene Nichtanhandnahmeverfügung vom 24. Januar 2022 am 1. März 2022 androhungsgemäss mangels Leistung der Prozesskaution nicht ein. Der Beschwerdeführer wendet sich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Anfechtungsobjekt ist einzig die Nichteintretensverfügung vom 1. März 2022.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Damit befasst sich der Beschwerdeführer in seiner Beschwerde an das Bundesgericht nicht. Aus seiner Beschwerde, in welcher er sich mit allerlei Dingen befasst, die nicht Thema der angefochtenen Nichteintretensverfügung bilden, ergibt sich folglich nicht, inwiefern die Vorinstanz Art. 383 StPO verletzt haben könnte. Ebenso wenig ergibt sich daraus, dass und inwiefern der vorinstanzliche Kostenspruch bundesrechtswidrig sein könnte. Soweit der Beschwerdeführer schliesslich die Parteibezeichnung im Rubrum der angefochten Verfügung als falsch beanstandet, zeigt er - abgesehen davon, dass diesbezügliche Fehler nicht ersichtlich sind - nicht auf, inwiefern dies für den Ausgang der Sache relevant und für ihn nachteilig sein könnte. Auf die Beschwerde ist mangels einer tauglichen Begründung im Verfahren nach Art. 108 BGG nicht einzutreten.</w:t>
      </w:r>
    </w:p>
    <w:p>
      <w:r>
        <w:rPr>
          <w:b/>
        </w:rPr>
        <w:t>E. 4</w:t>
      </w:r>
    </w:p>
    <w:p>
      <w:r>
        <w:t>Ausnahmsweise kann auf eine Kostenauflage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