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444/2016 vom 3. April 2017</w:t>
      </w:r>
    </w:p>
    <w:p>
      <w:r>
        <w:t>Bundesgericht, 2017-04-03, FR</w:t>
      </w:r>
    </w:p>
    <w:p>
      <w:r>
        <w:rPr>
          <w:b/>
        </w:rPr>
        <w:t xml:space="preserve">Quelle: </w:t>
      </w:r>
      <w:r>
        <w:t>https://mcp.opencaselaw.ch/entscheid/bger_6B_444_2016</w:t>
      </w:r>
    </w:p>
    <w:p>
      <w:r>
        <w:t>FR: TF 6B 444/2016 du 3 avril 2017</w:t>
      </w:r>
    </w:p>
    <w:p>
      <w:r>
        <w:t>IT: TF 6B 444/2016 del 3 aprile 2017</w:t>
      </w:r>
    </w:p>
    <w:p>
      <w:pPr>
        <w:pStyle w:val="Heading2"/>
      </w:pPr>
      <w:r>
        <w:t>Regeste</w:t>
      </w:r>
    </w:p>
    <w:p>
      <w:r>
        <w:t>Violation grave des règles de la circulation routière | Infractions</w:t>
      </w:r>
    </w:p>
    <w:p>
      <w:pPr>
        <w:pStyle w:val="Heading2"/>
      </w:pPr>
      <w:r>
        <w:t>Erwägungen</w:t>
      </w:r>
    </w:p>
    <w:p>
      <w:r>
        <w:rPr>
          <w:b/>
        </w:rPr>
        <w:t>E. 1</w:t>
      </w:r>
    </w:p>
    <w:p>
      <w:r>
        <w:t>Le recourant reproche à la cour cantonale d'avoir violé l' art. 90 al. 2 LCR en le reconnaissant coupable de violation grave des règles de la circulation au sens de cette disposition.</w:t>
      </w:r>
    </w:p>
    <w:p>
      <w:r>
        <w:rPr>
          <w:b/>
        </w:rPr>
        <w:t>E. 1.1</w:t>
      </w:r>
    </w:p>
    <w:p>
      <w:r>
        <w:t>Conformément à l' art. 90 LCR , celui qui viole les règles de la circulation prévues par ladite loi ou par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 art. 90 al. 2 LCR , il faut procéder à une appréciation aussi bien objective que subjective. D'un point de vue objectif, la violation grave d'une règle de circulation au sens de l' art. 90 al. 2 LCR suppose que l'auteur a mis sérieusement en danger la sécurité du trafic. Il y a création d'un danger sérieux pour la sécurité d'autrui non seulement en cas de mise en danger concrète, mais déjà en cas de mise en danger abstraite accrue ( ATF 142 IV 93 consid. 3.1 p. 96; 131 IV 133 consid. 3.2 p. 136). Subjectivement, l'état de fait de l' art. 90 al.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 ATF 131 IV 133 consid. 3.2 p. 136). Dans le domaine des excès de vitesse, la jurisprudence a été amenée à fixer des règles précises afin d'assurer l'égalité de traitement. Ainsi, le cas est objectivement grave au sens de l' art. 90 al. 2 LCR ,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 ATF 132 II 234 consid. 3.1 p. 237 s.; 124 II 259 consid. 2b p. 261 ss, 123 II 106 consid. 2c p. 113 et les références citées).</w:t>
      </w:r>
    </w:p>
    <w:p>
      <w:r>
        <w:rPr>
          <w:b/>
        </w:rPr>
        <w:t>E. 1.2</w:t>
      </w:r>
    </w:p>
    <w:p>
      <w:r>
        <w:t>Le recourant fait valoir que l'excès de vitesse de 33 km/h qui lui est imputé se situe en dessous de la limite de 35 km/h fixée par la jurisprudence et constitue une violation simple des règles de la circulation routière.</w:t>
      </w:r>
    </w:p>
    <w:p>
      <w:r>
        <w:rPr>
          <w:b/>
        </w:rPr>
        <w:t>E. 1.3</w:t>
      </w:r>
    </w:p>
    <w:p>
      <w:r>
        <w:t>L'excès de vitesse imputé au recourant a certes été commis sur une autoroute, mais sur un tronçon où la vitesse maximale autorisée n'était pas 120 km/h ( art. 4a al. 1 let . d OCR) mais 80 km/h en raison de travaux.</w:t>
      </w:r>
    </w:p>
    <w:p>
      <w:r>
        <w:rPr>
          <w:b/>
        </w:rPr>
        <w:t>E. 1.3.1</w:t>
      </w:r>
    </w:p>
    <w:p>
      <w:r>
        <w:t>Le seuil précité de 35 km/h pour admettre un cas grave sur une autoroute s'applique aux configurations classiques où la vitesse maximale autorisée est de 120 km/h. Ce seuil ne peut pas être transposé sans autre aux portions d'autoroute sur lesquelles la vitesse est limitée pour des raisons de sécurité. Dans certaines situations, un tronçon autoroutier régi par une limite de vitesse inférieure à 120 km/h, plus particulièrement en cas de limitation à 80 km/h, est comparable, eu égard au danger potentiel, à une route située en dehors d'une localité et non à une autoroute. Cela signifie qu'en matière d'excès de vitesse, ce sont les principes développés par la jurisprudence pour les routes situées en dehors des localités qui doivent, en règle générale, être appliqués (cf. ATF 128 II 131 consid. 2b). En l'espèce, le tronçon autoroutier était limité à une vitesse maximale de 80 km/h en raison de travaux. Des ouvriers travaillaient derrière un grillage apposé sur une bande herbeuse. La bande d'arrêt d'urgence était fermée afin de permettre aux ouvriers de travailler et de décharger leur matériel. Les usagers disposaient de deux voies dans le sens de la marche (arrêt attaqué, p. 3 let. f). La présence d'un chantier et d'ouvriers impliquait un danger particulier. Dans une telle configuration, il convient de considérer que le tronçon, quand bien même les usagers disposaient de deux voies dans le même sens de marche, s'apparente à une route hors localité. Le dépassement de vitesse litigieux de 33 km/h est supérieur à 30 km/h qui constitue le seuil pour le cas grave hors localité et peut par conséquent être objectivement qualifié de grave.</w:t>
      </w:r>
    </w:p>
    <w:p>
      <w:r>
        <w:rPr>
          <w:b/>
        </w:rPr>
        <w:t>E. 1.3.2</w:t>
      </w:r>
    </w:p>
    <w:p>
      <w:r>
        <w:t>Dans un cas de dépassement de 51 km/h de la limite autorisée alors que la vitesse avait été limitée provisoirement à 80 km/h sur un tronçon autoroutier pour des motifs écologiques liés à une présence excessive de particules fines dans l'air, le Tribunal fédéral a jugé que la violation des règles de la circulation ne devait pas être qualifiée de grave faute de réalisation de l'élément subjectif car la limitation était restreinte dans le temps et dans l'espace (arrêt 6B_109/2008 du 13 juin 2008 consid. 3.2). La situation est différente en l'espèce. Certes, la limitation de vitesse à laquelle le recourant ne s'est pas conformé est aussi restreinte dans le temps et dans l'espace mais l'inattention imputée au recourant est plus grave. Alors que la présence de particules fines à l'origine d'une réduction de la vitesse maximale autorisée passe inaperçue pour les usagers de la route il en va tout différemment d'un chantier sur la chaussée, qui doit inciter les conducteurs à une attention et une prudence accrues. De plus la présence d'ouvriers sur la zone en question accroît considérablement les risques pour la sécurité et ce même si ceux-ci travaillaient derrière un grillage. L'élément subjectif de l'infraction est aussi réalisé.</w:t>
      </w:r>
    </w:p>
    <w:p>
      <w:r>
        <w:rPr>
          <w:b/>
        </w:rPr>
        <w:t>E. 1.3.3</w:t>
      </w:r>
    </w:p>
    <w:p>
      <w:r>
        <w:t>Pour ces motifs, c'est sans violer le droit fédéral que la cour cantonale a considéré que les éléments constitutifs de l' art. 90 al. 2 LCR étaient réalisés.</w:t>
      </w:r>
    </w:p>
    <w:p>
      <w:r>
        <w:rPr>
          <w:b/>
        </w:rPr>
        <w:t>E. 2</w:t>
      </w:r>
    </w:p>
    <w:p>
      <w:r>
        <w:t>Le recourant sollicite, en application de l' art. 436 al. 2 CPP , l'allocation d'une indemnité de 5'587 fr. 50 pour les dépenses occasionnées par l'exercice raisonnable de ses droits en procédure d'appel. Son argumentation à ce propos repose entièrement sur la prémisse erronée que sa condamnation viole l' art. 90 al. 2 LCR . Le grief est par conséquent irrecevable faute de motivation ( art. 42 LTF ).</w:t>
      </w:r>
    </w:p>
    <w:p>
      <w:r>
        <w:rPr>
          <w:b/>
        </w:rPr>
        <w:t>E. 3</w:t>
      </w:r>
    </w:p>
    <w:p>
      <w:r>
        <w:t>Il résulte de ce qui précède que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