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6B_443/2025 vom 7. August 2025</w:t>
      </w:r>
    </w:p>
    <w:p>
      <w:r>
        <w:t>Bundesgericht, 2025-08-07, FR</w:t>
      </w:r>
    </w:p>
    <w:p>
      <w:r>
        <w:rPr>
          <w:b/>
        </w:rPr>
        <w:t xml:space="preserve">Quelle: </w:t>
      </w:r>
      <w:r>
        <w:t>https://mcp.opencaselaw.ch/entscheid/bger_6B_443_2025</w:t>
      </w:r>
    </w:p>
    <w:p>
      <w:r>
        <w:t>FR: TF 6B_443/2025 du 7 août 2025</w:t>
      </w:r>
    </w:p>
    <w:p>
      <w:r>
        <w:t>IT: TF 6B_443/2025 del 7 agosto 2025</w:t>
      </w:r>
    </w:p>
    <w:p>
      <w:pPr>
        <w:pStyle w:val="Heading2"/>
      </w:pPr>
      <w:r>
        <w:t>Erwägungen</w:t>
      </w:r>
    </w:p>
    <w:p>
      <w:r>
        <w:rPr>
          <w:b/>
        </w:rPr>
        <w:t>E. 1</w:t>
      </w:r>
    </w:p>
    <w:p>
      <w:r>
        <w:t>La recourante s'en prend aux constatations de fait de l'autorité précédente, qu'elle estime être entachées d'arbitraire, et dénonce 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144 IV 345 consid. 2.2.3.3).</w:t>
      </w:r>
    </w:p>
    <w:p>
      <w:r>
        <w:rPr>
          <w:b/>
        </w:rPr>
        <w:t>E. 1.3</w:t>
      </w:r>
    </w:p>
    <w:p>
      <w:r>
        <w:t>Lorsque, comme en l'occurrence, le recours en matière pénale est dirigé contre une décision d'une autorité de dernière instance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dans ce contexte, aux exigences de motivation déduites de l' art. 42 al. 2 LTF (cf. sur ce point: ATF 148 IV 205 consid. 2.6; cf. aussi arrêt 6B_586/2024 du 4 septembre 2024 consid. 3.1), le recourant doit exposer pourquoi l'autorité précédente aurait à tort admis ou nié l'arbitraire dans l'appréciation des preuves faite par l'autorité de première instance. Le Tribunal fédéral se prononce librement sur cette question (arrêts 6B_586/2024 précité consid. 3.1 et les arrêts cités).</w:t>
      </w:r>
    </w:p>
    <w:p>
      <w:r>
        <w:rPr>
          <w:b/>
        </w:rPr>
        <w:t>E. 1.4</w:t>
      </w:r>
    </w:p>
    <w:p>
      <w:r>
        <w:t>En l'espèce, le premier juge avait, selon la cour cantonale, considéré que les explications de la recourante, qui contestait les faits qui lui étaient reprochés, étaient dénuées de valeur probante. L'instruction avait démontré qu'une amende d'ordre avait été émise le 1</w:t>
      </w:r>
    </w:p>
    <w:p>
      <w:r>
        <w:t>er mai 2023 et apposée sur le pare-brise du véhicule utilisé par la prévenue. Il était établi, notamment par une photographie versée au dossier, que l'amende d'ordre était présente sur le véhicule le lendemain 2 mai 2023, ce qui confirmait que la recourante n'avait aucunement utilisé son véhicule entre le 1</w:t>
      </w:r>
    </w:p>
    <w:p>
      <w:r>
        <w:t>er et le 2 mai 2023, comme elle le prétendait.</w:t>
      </w:r>
    </w:p>
    <w:p>
      <w:r>
        <w:t>Pour les juges précédents, la recourante se contentait d'avancer sa propre version des faits, sans démontrer en quoi le premier juge aurait versé dans l'arbitraire. Son argumentation, jugée appellatoire, était irrecevable. En outre, selon la cour cantonale toujours, les faits retenus par le premier juge reposaient sur un rapport de police, dont il n'y avait pas de raison de douter de la crédibilité. Les seules dénégations de la recourante étaient insuffisantes pour retenir que le contenu du rapport n'était pas conforme à la réalité.</w:t>
      </w:r>
    </w:p>
    <w:p>
      <w:r>
        <w:t>Toujours aux dires des juges précédents, l'assistant de sécurité publique à l'origine de sa dénonciation avait, contrairement à ce que prétendait la recourante devant elle, effectué correctement son travail en dénonçant immédiatement l'infraction, après avoir constaté qu'une amende d'ordre avait été apposée la veille par sa collègue sur le pare-brise du véhicule de la recourante et que celui-ci n'avait pas été déplacé depuis lors. Au moment de son contrôle, la durée de dépassement était de 16 heures et 47 minutes. Or, aux dires des juges précédents, une durée de dépassement supérieure à 10 heures constitue une infraction qui n'est pas comprise dans l'annexe | de l'OAO (cf. 2.200.c</w:t>
      </w:r>
    </w:p>
    <w:p>
      <w:r>
        <w:t>a contrario ), de sorte qu'elle devait être dénoncée à l'autorité de répression sans attendre l'expiration du délai de réflexion de 10 jours (cf. art. 47 du Règlement d'application de la loi vaudoise sur la circulation routière du 2 novembre 1977 [RVLCR]; BLV 741.01.1). Les explications de l'appelante ne résistaient pas à celles de l'assistant de sécurité publique l'ayant dénoncée, lesquelles étaient corroborées par la photographie qu'il avait prise du véhicule et de l'amende d'ordre qui s'y trouvait. Au vu de la durée du dépassement, le prénommé n'avait donc pas à émettre une seconde amende d'ordre et devait dénoncer l'infraction commise.</w:t>
      </w:r>
    </w:p>
    <w:p>
      <w:r>
        <w:t>Compte tenu de ces éléments, il convenait de confirmer la condamnation de la recourante pour contravention aux art. 27 al. 1 LCR , 48 al. 3 et 48b al. 1 OSR.</w:t>
      </w:r>
    </w:p>
    <w:p>
      <w:r>
        <w:rPr>
          <w:b/>
        </w:rPr>
        <w:t>E. 1.5</w:t>
      </w:r>
    </w:p>
    <w:p>
      <w:r>
        <w:t>Alors qu'il lui incombe d'exposer en quoi l'autorité précédente aurait à tort admis ou nié l'arbitraire dans l'appréciation des preuves faite par l'autorité de première instance (cf.</w:t>
      </w:r>
    </w:p>
    <w:p>
      <w:r>
        <w:t>supra consid. 1.3 i. f.), la recourante développe une argumentation par laquelle elle oppose, cette fois devant le Tribunal fédéral, sa propre version à celle retenue par les juges précédents. Elle se contente de reprocher à l'autorité précédente de ne pas avoir exigé la production de la contravention du 1er mai 2023, sans d'ailleurs soulever à satisfaction de droit de grief de violation du droit d'être entendu sur ce point. Elle concède au demeurant n'être qu'en mesure de développer sa propre version des faits.</w:t>
      </w:r>
    </w:p>
    <w:p>
      <w:r>
        <w:t>Quoi qu'elle se plaigne que sa condamnation repose sur les seules déclarations de l'assistant de sécurité publique l'ayant dénoncée, elle échoue à mettre en évidence en quoi les juges précédents auraient à tort écarté tout grief d'arbitraire dirigé contre les constatations des premiers juges. Dans cette mesure, c'est en vain également que la recourante invoque une violation de l' art. 139 CPP et le principe de la libre appréciation des preuves. On ne saurait en effet reprocher aux juges précédents de s'être fondés sur un rapport dont on ne voit pas qu'il eût été insoutenable de s'y référer pour établir les faits. C'est en vain aussi que la recourante tente de se prévaloir d'une violation de l' art. 192 CPP , au motif que la contravention du 1er mai 2023 ferait défaut au dossier. Outre que le grief apparaît irrecevable, faute d'avoir été discuté devant l'autorité précédente ( art. 80 LTF ), il suffit de relever qu'à teneur des éléments figurant au dossier (cf. pièce 8; cf. art. 105 al. 2 LTF ), la commission de police a exposé que, dans la mesure où l'amende avait été annulée et remplacée par une dénonciation, le fichet avait été détruit conformément à la procédure appliquée. Il n'en demeure pas moins que cet élément ne permet pas davantage à la recourante d'esquisser en quoi les constatations des juges précédents quant au fait à la base de sa condamnation pour contravention à la LCR seraient insoutenables.</w:t>
      </w:r>
    </w:p>
    <w:p>
      <w:r>
        <w:t>Pour le surplus, on ne discerne dans l'écriture de la recourante aucun grief recevable, respectivement motivé à satisfaction de droit ( art. 42 al. 2 LTF et 106 al. 2 LTF) concernant l'application de la loi vaudoise sur la circulation routière (LVCR; BLV 741.01) ou son règlement d'application (RLVCR; BLV 741.01.1).</w:t>
      </w:r>
    </w:p>
    <w:p>
      <w:r>
        <w:t>En définitive, il n'apparaît nullement insoutenable d'avoir considéré qu'il n'y avait aucune raison de douter de la version des faits présentés par l'assistant de sécurité publique dénonciateur et d'établir les faits sur la base de son rapport. On ne saurait dès lors reprocher aux autorités précédentes d'avoir versé dans l'arbitraire et violé la présomption d'innocence.</w:t>
      </w:r>
    </w:p>
    <w:p>
      <w:r>
        <w:t>Mal fondés, les griefs de la recourante doivent être rejetés dans la faible mesure de leur recevabilité.</w:t>
      </w:r>
    </w:p>
    <w:p>
      <w:r>
        <w:rPr>
          <w:b/>
        </w:rPr>
        <w:t>E. 2</w:t>
      </w:r>
    </w:p>
    <w:p>
      <w:r>
        <w:t>Compte tenu de ce qui précède, le recours doit être rejeté dans la mesure de sa recevabilité. Au vu du sort du recours, la demande d'assistance judiciaire doit être rejetée ( art. 64 al. 1 LTF ), faute de chances de succès. La recourante, qui succombe, supportera les frais judiciaires, qui seront toutefois fixés en tenant compte de sa situation (art. 65 al. 2 et 66 al. 1 LTF).</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