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6B_443/2019 vom 29. Mai 2019</w:t>
      </w:r>
    </w:p>
    <w:p>
      <w:r>
        <w:t>Bundesgericht, 2019-05-29, FR</w:t>
      </w:r>
    </w:p>
    <w:p>
      <w:r>
        <w:rPr>
          <w:b/>
        </w:rPr>
        <w:t xml:space="preserve">Quelle: </w:t>
      </w:r>
      <w:r>
        <w:t>https://mcp.opencaselaw.ch/entscheid/bger_6B_443_2019</w:t>
      </w:r>
    </w:p>
    <w:p>
      <w:r>
        <w:t>FR: TF 6B_443/2019 du 29 mai 2019</w:t>
      </w:r>
    </w:p>
    <w:p>
      <w:r>
        <w:t>IT: TF 6B_443/2019 del 29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 daté du 5 avril 2019, X.________ déclare vouloir recourir contre une décision du 4 mars 2019. Par cette dernière, la Chambre pénale des recours du Tribunal cantonal jurassien a refusé d'entrer en matière sur le recours formé par l'intéressée contre une ordonnance du 29 janvier 2019, par laquelle le Ministère public jurassien a classé la plainte déposée par X.________ contre A.________ pour injures et menaces.</w:t>
      </w:r>
    </w:p>
    <w:p>
      <w:r>
        <w:rPr>
          <w:b/>
        </w:rPr>
        <w:t>E. 2</w:t>
      </w:r>
    </w:p>
    <w:p>
      <w:r>
        <w:t>Conformément à l' art. 42 al. 1 LTF , le mémoire de recours doit être motivé et contenir des conclusions.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</w:t>
      </w:r>
    </w:p>
    <w:p>
      <w:r>
        <w:t>Dans son courrier du 5 avril 2019, X.________ reproche à l'autorité cantonale de n'avoir pas pris en considération sa lettre du 8 février 2019. Elle allègue que A.________ continuerait de la blesser et de l'injurier. La recourante serait, par ailleurs, atteinte dans sa santé en raison d'une blessure qui lui aurait été infligée.</w:t>
      </w:r>
    </w:p>
    <w:p>
      <w:r>
        <w:t>La cour cantonale a jugé le recours irrecevable faute de motivation. Elle n'a pas ignoré le courrier de la recourante du 8 février 2019 (soit l'écriture de recours), mais a expliqué en quoi cette écriture ne répondait pas aux exigences de motivation déduites de l' art. 385 CPP . En se bornant à élever des reproches à l'égard de la personne contre laquelle elle a déposé plainte, la recourante ne développe aucune argumentation spécifique en lien avec la motivation de son recours cantonal et l'appréciation portée sur celle-ci par la Chambre pénale. En l'absence de toute motivation topique, le recours est irrecevable, ce qu'il convient de constater dans la procédure prévue par l' art. 108 al. 1 let. b LTF .</w:t>
      </w:r>
    </w:p>
    <w:p>
      <w:r>
        <w:rPr>
          <w:b/>
        </w:rPr>
        <w:t>E. 3</w:t>
      </w:r>
    </w:p>
    <w:p>
      <w:r>
        <w:t>La recourante succombe. Elle supporte les frais de la procédure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