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6B_443/2016 vom 13. Juli 2017</w:t>
      </w:r>
    </w:p>
    <w:p>
      <w:r>
        <w:t>Bundesgericht, 2017-07-13, DE</w:t>
      </w:r>
    </w:p>
    <w:p>
      <w:r>
        <w:rPr>
          <w:b/>
        </w:rPr>
        <w:t xml:space="preserve">Quelle: </w:t>
      </w:r>
      <w:r>
        <w:t>https://mcp.opencaselaw.ch/entscheid/bger_6B_443_2016</w:t>
      </w:r>
    </w:p>
    <w:p>
      <w:r>
        <w:t>FR: TF 6B_443/2016 du 13 juillet 2017</w:t>
      </w:r>
    </w:p>
    <w:p>
      <w:r>
        <w:t>IT: TF 6B_443/2016 del 13 luglio 2017</w:t>
      </w:r>
    </w:p>
    <w:p>
      <w:pPr>
        <w:pStyle w:val="Heading2"/>
      </w:pPr>
      <w:r>
        <w:t>Erwägungen</w:t>
      </w:r>
    </w:p>
    <w:p>
      <w:r>
        <w:rPr>
          <w:b/>
        </w:rPr>
        <w:t>E. 1</w:t>
      </w:r>
    </w:p>
    <w:p>
      <w:r>
        <w:t>Das Bezirksgericht Lenzburg erklärte X.________ am 1. November 2013 des Raufhandels und der mehrfachen versuchten schweren Körperverletzung schuldig. Es bestrafte ihn mit einer bedingten Freiheitsstrafe von 7 Monaten. Darüber hinaus verpflichtete es ihn unter anderem, dem Zivilkläger A.________ in solidarischer Haftbarkeit mit W.________, Y.________ und Z.________ die Parteikosten in der Höhe von Fr. 1'291.70 zu ersetzen. Gegen dieses Urteil erhoben X.________ Berufung und A.________ Anschlussberufung.</w:t>
      </w:r>
    </w:p>
    <w:p>
      <w:r>
        <w:rPr>
          <w:b/>
        </w:rPr>
        <w:t>E. 2</w:t>
      </w:r>
    </w:p>
    <w:p>
      <w:r>
        <w:t>Das Obergericht des Kantons Aargau sprach X.________ am 25. Februar 2016 des Raufhandels und der mehrfachen einfachen Körperverletzung, teilweise mit einer Waffe, schuldig. Es bestrafte ihn mit einer bedingten Freiheitsstrafe von 7 Monaten. Hinsichtlich der Parteikosten zugunsten von A.________ bestätigte das Obergericht das erstinstanzliche Urteil.</w:t>
      </w:r>
    </w:p>
    <w:p>
      <w:r>
        <w:rPr>
          <w:b/>
        </w:rPr>
        <w:t>E. 3</w:t>
      </w:r>
    </w:p>
    <w:p>
      <w:r>
        <w:t>A.________ führt Beschwerde in Strafsachen. Er beantragt die Aufhebung des Urteils des Obergerichts in Bezug auf die ihm zugesprochene Parteientschädigung sowie die Rückweisung der Sache an die Vorinstanz zu neuer Beurteilung.</w:t>
      </w:r>
    </w:p>
    <w:p>
      <w:r>
        <w:rPr>
          <w:b/>
        </w:rPr>
        <w:t>E. 4</w:t>
      </w:r>
    </w:p>
    <w:p>
      <w:r>
        <w:t>In Gutheissung einer Beschwerde von X.________ hat das Bundesgericht am 27. März 2017 das von A.________ im vorliegenden Verfahren angefochtene Urteil der Vorinstanz bereits aufgehoben. Die Sache wurde zur umfassenden Neubeurteilung an die Vorinstanz zurückgewiesen (Urteil 6B_432/2016). Diese wird daher auch erneut zu bestimmen haben, ob und in welchem Umfang A.________ Anspruch auf eine Entschädigung zulasten von X.________ hat. Die Beschwerde im Verfahren 6B_443/2016 ist daher als gegenstandslos abzuschreiben.</w:t>
      </w:r>
    </w:p>
    <w:p>
      <w:r>
        <w:rPr>
          <w:b/>
        </w:rPr>
        <w:t>E. 5</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 BGE 142 V 551 E. 8.2; BGE 118 Ia 488 E. 4a; Urteil 2C_622/2016 vom 31. März 2017 E. 3.1; je mit Hinweisen).</w:t>
      </w:r>
    </w:p>
    <w:p>
      <w:r>
        <w:t>Der Beschwerdeführer rügt im Wesentlichen, die Vorinstanz habe die Parteientschädigung aufgrund des Streitwertes bemessen. Dies verletzte Art. 433 Abs. 1 StPO . Unabhängig davon sei die ihm zugesprochene Parteientschädigung auch unangemessen. Eine Entschädigung gemäss Art. 433 Abs. 1 StPO steht dem Privatkläger nur dann zu, wenn er obsiegt oder die beschuldigte Person kostenpflichtig ist. Ob eine dieser Voraussetzungen erfüllt ist, kann nicht beurteilt werden werden, zumal die Sache zu neuer Entscheidung an die Vorinstanz zurückgewiesen wurde. Der Beschwerdeführer ist demnach grundsätzlich kosten- und entschädigungspflichtig und hat selber keinen Anspruch auf eine Parteientschädigung. Für das bundesgerichtliche Verfahren kann aufgrund der konkreten Umstände auf die Erhebung von Kosten verzichtet werden ( Art. 66 Abs. 1 BGG ). Dem Beschwerdegegner 2 ist keine Parteientschädigung zuzusprechen, weil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