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6B_440/2025 vom 20. November 2025</w:t>
      </w:r>
    </w:p>
    <w:p>
      <w:r>
        <w:t>Bundesgericht, 2025-11-20, DE</w:t>
      </w:r>
    </w:p>
    <w:p>
      <w:r>
        <w:rPr>
          <w:b/>
        </w:rPr>
        <w:t xml:space="preserve">Quelle: </w:t>
      </w:r>
      <w:r>
        <w:t>https://mcp.opencaselaw.ch/entscheid/bger_6B_440_2025</w:t>
      </w:r>
    </w:p>
    <w:p>
      <w:r>
        <w:t>FR: TF 6B_440/2025 du 20 novembre 2025</w:t>
      </w:r>
    </w:p>
    <w:p>
      <w:r>
        <w:t>IT: TF 6B_440/2025 del 20 novembre 2025</w:t>
      </w:r>
    </w:p>
    <w:p>
      <w:pPr>
        <w:pStyle w:val="Heading2"/>
      </w:pPr>
      <w:r>
        <w:t>Erwägungen</w:t>
      </w:r>
    </w:p>
    <w:p>
      <w:r>
        <w:rPr>
          <w:b/>
        </w:rPr>
        <w:t>E. 1</w:t>
      </w:r>
    </w:p>
    <w:p>
      <w:r>
        <w:t>Die Beschwerde vom 15. Mai 2025 gegen den Beschluss des Obergerichts des Kantons Zürich vom 12. März 2025 wurde mit Eingabe vom 14. November 2025 zurückgezogen. Das Verfahren ist infolge Beschwerderückzugs abzuschreiben.</w:t>
      </w:r>
    </w:p>
    <w:p>
      <w:r>
        <w:rPr>
          <w:b/>
        </w:rPr>
        <w:t>E. 2</w:t>
      </w:r>
    </w:p>
    <w:p>
      <w:r>
        <w:t>Auf die Erhebung von Gerichtskosten kann in Anwendung von Art. 66 Abs. 2 BGG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