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43/2023 vom 8. Januar 2024</w:t>
      </w:r>
    </w:p>
    <w:p>
      <w:r>
        <w:t>Bundesgericht, 2024-01-08, FR</w:t>
      </w:r>
    </w:p>
    <w:p>
      <w:r>
        <w:rPr>
          <w:b/>
        </w:rPr>
        <w:t xml:space="preserve">Quelle: </w:t>
      </w:r>
      <w:r>
        <w:t>https://mcp.opencaselaw.ch/entscheid/bger_6B_43_2023</w:t>
      </w:r>
    </w:p>
    <w:p>
      <w:r>
        <w:t>FR: TF 6B 43/2023 du 8 janvier 2024</w:t>
      </w:r>
    </w:p>
    <w:p>
      <w:r>
        <w:t>IT: TF 6B 43/2023 del 8 gennaio 2024</w:t>
      </w:r>
    </w:p>
    <w:p>
      <w:pPr>
        <w:pStyle w:val="Heading2"/>
      </w:pPr>
      <w:r>
        <w:t>Regeste</w:t>
      </w:r>
    </w:p>
    <w:p>
      <w:r>
        <w:t>Entrave aux services d'intérêt général, empêchement d'accomplir un acte officiel, violation simple des règles de la circulation routière, contravention à la LContr; liberté de réunion et d'association | Infractions</w:t>
      </w:r>
    </w:p>
    <w:p>
      <w:pPr>
        <w:pStyle w:val="Heading2"/>
      </w:pPr>
      <w:r>
        <w:t>Erwägungen</w:t>
      </w:r>
    </w:p>
    <w:p>
      <w:r>
        <w:rPr>
          <w:b/>
        </w:rPr>
        <w:t>E. 1</w:t>
      </w:r>
    </w:p>
    <w:p>
      <w:r>
        <w:t>La recourante se plaint simultanément d'une violation des art. 19 et 21 du Pacte ONU II, 10 et 11 CEDH, 16, 22 et 36 al. 3 Cst., 239 et 286 CP ainsi que 90 al. 1 LCR cum 26 et 49 al. 1 LCR. Elle invoque également l'arrêt 6B_655/2022 du 31 août 2022 (v. en particulier consid. 4.6.2), par lequel le Tribunal fédéral a annulé une décision cantonale, dans une affaire similaire, en raison d'une motivation insuffisante.</w:t>
      </w:r>
    </w:p>
    <w:p>
      <w:r>
        <w:rPr>
          <w:b/>
        </w:rPr>
        <w:t>E. 1.1</w:t>
      </w:r>
    </w:p>
    <w:p>
      <w:r>
        <w:t>Dans le jugement attaqué, la cour cantonale a commencé par relater les faits, soit en particulier les faits de la procédure et de la cause (consid. A à C), puis s'est penchée sur des questions procédurales, soit en particulier celles de la jonction des causes et des réquisitions de preuve (consid. 1 à 4). Après avoir constaté que la recourante ne contestait pas les faits, ce qui était en revanche le cas de B.________ et de C.________ (consid. 5), elle a fait état des dispositions légales applicables et de la jurisprudence s'agissant de la présomption d'innocence, de l' art. 239 CP , de l' art. 286 CP et de l'art. 41 RGP (consid. 5.1), sans mot dire sur l' art. 90 LCR . Elle a ensuite procédé à l'établissement définitif des faits, en réaction aux griefs soulevés par les deux précitées, en concluant qu'il n'y avait pas lieu de s'écarter des rapports de police relatifs aux manifestations et de " confirmer le jugement de première instance s'agissant de l'implication des deux appelantes " (consid. 5.2). La cour cantonale s'est encore penchée sur les alléguées violations du droit à la liberté de réunion pacifique, jugeant qu'elles n'étaient pas avérées (consid. 6), avant de donner quelques brèves explications lui permettant de conclure que la recourante et ses coaccusés s'étaient " rendus coupables d'entrave aux services d'intérêt général, d'empêchement d'accomplir un acte officiel, de violation simple des règles de la circulation routière et de contravention à la LContr " (jugement attaqué consid. 6.2 in fine ). Elle a finalement abordé l' art. 52 CP (consid. 7), puis la fixation de la peine (consid. 8).</w:t>
      </w:r>
    </w:p>
    <w:p>
      <w:r>
        <w:rPr>
          <w:b/>
        </w:rPr>
        <w:t>E. 1.2</w:t>
      </w:r>
    </w:p>
    <w:p>
      <w:r>
        <w:t>Les brèves explications susmentionnées au sujet de la réalisation des infractions par la recourante, à l'instar de la solution retenue dans l'arrêt 6B_655/2022 précité, ne sauraient s'apparenter à un raisonnement juridique suffisant. Pour cause, elles ne permettent pas d'expliquer en quoi les faits retenus individuellement contre celle-ci seraient constitutifs des infractions précitées.</w:t>
      </w:r>
    </w:p>
    <w:p>
      <w:r>
        <w:rPr>
          <w:b/>
        </w:rPr>
        <w:t>E. 1.3</w:t>
      </w:r>
    </w:p>
    <w:p>
      <w:r>
        <w:t>À défaut pour le Tribunal fédéral d'être en mesure de contrôler le respect des dispositions légales appliquées ou, pour ce qui est de la violation simple des règles de la circulation, les dispositions légales sur lesquels repose la condamnation de la recourante, il convient d'annuler le jugement attaqué et de renvoyer la cause à la cour cantonale pour nouvelle décision ( art. 112 al. 3 LTF ). Il incombera notamment à celle-ci d'exposer en quoi les faits retenus contre la recourante, à l'égard de chacune des manifestations, sont constitutifs des infractions retenues.</w:t>
      </w:r>
    </w:p>
    <w:p>
      <w:r>
        <w:rPr>
          <w:b/>
        </w:rPr>
        <w:t>E. 2</w:t>
      </w:r>
    </w:p>
    <w:p>
      <w:r>
        <w:t>Ce qui précède rend sans objet les griefs soulevés par la recourante. Par soucis d'économie de procédure, il est néanmoins relevé qu'à deux reprises, la cour cantonale semble libérer la recourante de l'infraction à la LContr (cf. jugement attaqué consid. 6.2 [" La règle générale de l'art. 41 RGP qui réprime la participation à toute manifestation ne peut pas être retenue "] et consid. 8 [" Toutefois, les peines doivent être examinées d'office, ce d'autant que les prévenus sont libérés de la contravention à l'art. 41 RGP "]). Or, si tant est qu'il ne s'agisse pas là d'un acquittement partiel, ce que le jugement attaqué ne précise pas, il est constaté que le dispositif du jugement cantonal ne fait pas état de cette libération, au contraire. Il incombera dès lors également à la cour cantonale de préciser ses intentions à ce titre.</w:t>
      </w:r>
    </w:p>
    <w:p>
      <w:r>
        <w:rPr>
          <w:b/>
        </w:rPr>
        <w:t>E. 3</w:t>
      </w:r>
    </w:p>
    <w:p>
      <w:r>
        <w:t>Le recours doit être admis, le jugement attaqué annulé et la cause renvoyée à la cour cantonale pour nouvelle décision (cf. supra consid. 1.3 et 2). Au regard de la nature procédurale des vices examinés et dans la mesure où le Tribunal fédéral n'a pas traité la cause sur le fond, ne préjugeant ainsi pas de l'issue de celle-ci, il peut être procédé au renvoi sans ordonner préalablement un échange d'écritures ( ATF 133 IV 293 consid. 3.4.2). La recourante, qui obtient gain de cause, peut prétendre à des dépens à la charge du canton de Vaud ( art. 68 al. 1 LTF ) et ne supporte pas de frais judiciaires ( art. 66 al. 1 LTF ). Sa demande d'assistance judiciaire devient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