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43/2020 vom 4. Februar 2020</w:t>
      </w:r>
    </w:p>
    <w:p>
      <w:r>
        <w:t>Bundesgericht, 2020-02-04, DE</w:t>
      </w:r>
    </w:p>
    <w:p>
      <w:r>
        <w:rPr>
          <w:b/>
        </w:rPr>
        <w:t xml:space="preserve">Quelle: </w:t>
      </w:r>
      <w:r>
        <w:t>https://mcp.opencaselaw.ch/entscheid/bger_6B_43_2020</w:t>
      </w:r>
    </w:p>
    <w:p>
      <w:r>
        <w:t>FR: TF 6B 43/2020 du 4 février 2020</w:t>
      </w:r>
    </w:p>
    <w:p>
      <w:r>
        <w:t>IT: TF 6B 43/2020 del 4 febbraio 2020</w:t>
      </w:r>
    </w:p>
    <w:p>
      <w:pPr>
        <w:pStyle w:val="Heading2"/>
      </w:pPr>
      <w:r>
        <w:t>Regeste</w:t>
      </w:r>
    </w:p>
    <w:p>
      <w:r>
        <w:t>Widerhandlung gegen das Betäubungsmittelgesetz, Willkür; Strafzumessung | Straftaten</w:t>
      </w:r>
    </w:p>
    <w:p>
      <w:pPr>
        <w:pStyle w:val="Heading2"/>
      </w:pPr>
      <w:r>
        <w:t>Erwägungen</w:t>
      </w:r>
    </w:p>
    <w:p>
      <w:r>
        <w:rPr>
          <w:b/>
        </w:rPr>
        <w:t>E. 1</w:t>
      </w:r>
    </w:p>
    <w:p>
      <w:r>
        <w:t>Der Beschwerdeführer rügt, die Vorinstanz verletze seinen Anspruch auf rechtliches Gehör. Sie habe seinen psychischen Zustand zur Tatzeit nicht abgeklärt und zu Unrecht darauf verzichtet, Dr. B.________ als Zeugen zu befragen.</w:t>
      </w:r>
    </w:p>
    <w:p>
      <w:r>
        <w:rPr>
          <w:b/>
        </w:rPr>
        <w:t>E. 1.1</w:t>
      </w:r>
    </w:p>
    <w:p>
      <w:r>
        <w:t>Die Vorinstanz hält in Bezug auf die Einvernahme von Dr. B.________ fest, die erste Instanz habe einen entsprechenden Beweisantrag des Beschwerdeführers mit Verfügung vom 22. Januar 2019 mit ausführlicher Begründung abgewiesen. Anlässlich der Hauptverhandlung habe der Beschwerdeführer den Antrag nicht wiederholt, weshalb sich die erste Instanz in ihrem Urteil nicht mehr materiell mit dem Beweisantrag habe auseinandersetzen müssen (angefochtenes Urteil, S. 7). Diese Erwägung klammert der Beschwerdeführer in seiner Beschwerde aus, weshalb auf die Rüge der Verletzung des rechtlichen Gehörs nicht eingetreten werden kann (vgl. zu den Begründungsanforderungen einer Beschwerde ans Bundesgericht Art. 42 Abs. 2 bzw. Art. 106 Abs. 2 BGG ; BGE 144 V 50 E. 4.2 S. 53; 141 IV 369 E. 6.3 S. 375; je mit Hinweisen).</w:t>
      </w:r>
    </w:p>
    <w:p>
      <w:r>
        <w:rPr>
          <w:b/>
        </w:rPr>
        <w:t>E. 1.2.1</w:t>
      </w:r>
    </w:p>
    <w:p>
      <w:r>
        <w:t>Gemäss Art. 20 StGB ordnet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müsste. Dabei genügt nicht jede geringfügige Herabsetzung der Fähigkeit, sich zu beherrschen, um eine verminderte Schuldfähigkeit anzunehmen. Der Betroffene muss nach der Rechtsprechung vielmehr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er sich an wechselnde Erfordernisse der Situation anpassen, auf eine Gelegenheit zur Tat warten oder diese gar herbeiführen konnte, so hat eine schwere Beeinträchtigung nicht vorgelegen ( BGE 133 IV 145 E. 3.3 S. 147 f.; Urteil 6B_800/2016 vom 25. Oktober 2017 E. 8.3.2, nicht publiziert in BGE 143 IV 397 ; je mit Hinweisen).</w:t>
      </w:r>
    </w:p>
    <w:p>
      <w:r>
        <w:rPr>
          <w:b/>
        </w:rPr>
        <w:t>E. 1.2.2</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 136 I 229 E. 5.3 S. 236 f. mit Hinweisen). Die Rüge unzulässiger antizipierter Beweiswürdigung prüft das Bundesgericht bloss unter dem Aspekt der Willkür ( Art. 97 Abs. 1 BGG ; vgl. Urteil 6B_224/2017 vom 17. November 2017 E. 2.2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 Die Rüge der Willkür muss in der Beschwerde explizit vorgebracht und substanziiert begründet werden ( Art. 106 Abs. 2 BGG ). Auf eine rein appellatorische Kritik am angefochtenen Entscheid tritt das Bundesgericht nicht ein ( BGE 142 III 364 E. 2.4 S. 368 mit Hinweis).</w:t>
      </w:r>
    </w:p>
    <w:p>
      <w:r>
        <w:rPr>
          <w:b/>
        </w:rPr>
        <w:t>E. 1.3</w:t>
      </w:r>
    </w:p>
    <w:p>
      <w:r>
        <w:t>Gemäss dem Bericht von Dr. B.________ vom 19. September 2018 liegen für die erste Hälfte des Jahres 2018, d.h. insbesondere für den Tatzeitpunkt, keine Anhaltspunkte vor, die auf ein psychotisches Erleben des Beschwerdeführers schliessen lassen. Auf diesen Bericht stellt die Vorinstanz unter Verweis auf das erstinstanzliche Urteil ab (vgl. angefochtenes Urteil S. 7 ff.). Weshalb zusätzlich zum schriftlichen Bericht eine Befragung von Dr. B.________ erforderlich sein sollte, ist nicht ersichtlich. Die Einschätzung dieses Arztes, der den Beschwerdeführer langjährig behandelt hatte, lässt keine Zweifel an der Schuldfähigkeit des Beschwerdeführers aufkommen. Daran ändert nichts, dass dem Beschwerdeführer in einem für die Invalidenversicherung erstellten psychiatrischen Gutachten von Dr. C.________ vom 25. Juli 2012 eine rezidivierende depressive Störung mit teils schweren depressiven Phasen und einer Tendenz zur Chronifizierung, eine paranoide Persönlichkeitsstörung sowie ein Cannabisabusus attestiert wurden. Letzteres Gutachten bezieht sich auf eine andere, nicht strafrechtliche Thematik. Es ist zudem veraltet und für den Gesundheitszustand des Beschwerdeführers zum Tatzeitpunkt nicht aussagekräftig. Jedenfalls folgen aus einer vorbestehenden psychischen Erkrankung nicht zwingend Zweifel an der Schuldfähigkeit; vielmehr sind die konkreten Tatumstände zu berücksichtigen (vgl. Urteil 6B_1173/2015 vom 13. Mai 2016 E. 1.4). Die Rügen des Beschwerdeführers erweisen sich als unbegründet.</w:t>
      </w:r>
    </w:p>
    <w:p>
      <w:r>
        <w:rPr>
          <w:b/>
        </w:rPr>
        <w:t>E. 2.1</w:t>
      </w:r>
    </w:p>
    <w:p>
      <w:r>
        <w:t>Der Beschwerdeführer macht geltend, die vorinstanzliche Beweiswürdigung betreffend den für die Strafzumessung relevanten Sachverhalt sei willkürlich. Entgegen der Auffassung der Vorinstanz weise er keine einschlägige Vorstrafe auf. Die Vorinstanz berücksichtige eine solche bei der Strafzumessung zu Unrecht.</w:t>
      </w:r>
    </w:p>
    <w:p>
      <w:r>
        <w:rPr>
          <w:b/>
        </w:rPr>
        <w:t>E. 2.2</w:t>
      </w:r>
    </w:p>
    <w:p>
      <w:r>
        <w:t>Die Vorinstanz verweist zur Strafzumessung auf die erstinstanzlichen Erwägungen. Dabei berücksichtigt die Vorinstanz, dass mit potentiell 900 Gramm Cannabis, einer einschlägigen Vorstrafe und angesichts des direktvorsätzlichen Handelns nicht von einem leichten Fall auszugehen sei. Sie bestätigt die erstinstanzlich ausgesprochene Busse von Fr. 500.-- unter Verweis auf die dortige Begründung (angefochtenes Urteil S. 10). Die erste Instanz erwägt zur Strafzumessung, der Beschwerdeführer habe wissentlich und willentlich Hanfsamen zum Anbau von Cannabis zwecks Eigenkonsum in die Schweiz eingeführt. Es liege kein leichter Fall im Sinne von Art. 19a Abs. 2 BetmG vor. Mit den 30 bestellten Hanfsamen hätten potentiell 900 Gramm Cannabis produziert werden können. Der Beschwerdeführer sei wegen seiner einst diagnostizierten Cannabisabhängigkeit einschlägig vorbelastet. Jugendlicher Unsinn falle aufgrund seines Alters ausser Betracht. Der Beschwerdeführer habe mit direktem Vorsatz gehandelt, um die Samen in seinem Garten anzupflanzen und teure Ausgaben zu vermeiden (erstinstanzliches Urteil S. 14 f.).</w:t>
      </w:r>
    </w:p>
    <w:p>
      <w:r>
        <w:rPr>
          <w:b/>
        </w:rPr>
        <w:t>E. 2.3.1</w:t>
      </w:r>
    </w:p>
    <w:p>
      <w:r>
        <w:t>Wer unbefugt Betäubungsmittel vorsätzlich konsumiert oder wer zum eigenen Konsum eine Widerhandlung im Sinne von Artikel 19 begeht, wird mit Busse bestraft ( Art. 19a Ziff. 1 BetmG ). Das Gericht bemisst Übertretungsbussen aufgrund von Art. 106 Abs. 3 StGB nach den Verhältnissen des Täters so, dass dieser die Strafe erleidet, die seinem Verschulden angemessen ist ( BGE 114 Ib 27 E. 4a S. 31 mit Hinweisen; zu den juristischen Personen: BGE 135 II 86 E. 4.4). Der Strafrahmen der Busse reicht von einem bis zu Fr. 10'000.-- ( Art. 103 StGB ).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S. 61; je mit Hinweisen).</w:t>
      </w:r>
    </w:p>
    <w:p>
      <w:r>
        <w:rPr>
          <w:b/>
        </w:rPr>
        <w:t>E. 2.3.2</w:t>
      </w:r>
    </w:p>
    <w:p>
      <w:r>
        <w:t>Die Feststellung des Sachverhalts durch die Vorinstanz kann nur gerügt werden, wenn sie offensichtlich unrichtig ist oder auf einer Verletzung von schweizerischem Recht im Sinne von Art. 95 BGG beruht und wenn die Behebung des Mangels für den Ausgang des Verfahrens entscheidend sein kann ( Art. 97 Abs. 1 BGG ). Offensichtlich unrichtig ist die Sachverhaltsfeststellung, wenn sie willkürlich im Sinne von Art. 9 BV ist ( BGE 143 IV 241 E. 2.3.1 ; 143 I 310 E. 2.2; je mit Hinweis).</w:t>
      </w:r>
    </w:p>
    <w:p>
      <w:r>
        <w:rPr>
          <w:b/>
        </w:rPr>
        <w:t>E. 2.4</w:t>
      </w:r>
    </w:p>
    <w:p>
      <w:r>
        <w:t>Der Beschwerdeführer beanstandet zutreffend, dass er keine einschlägige Vorstrafe im Betäubungsmittelbereich aufweist. Gemäss den kantonalen Vorakten haben weder die Vorinstanz, noch die erste Instanz einen Strafregisterauszug eingeholt, weshalb die vorinstanzliche Erwähnung einer einschlägigen Vorstrafe keine Stütze in den Akten findet. Indessen ist diese falsche Annahme für die Höhe der Strafe nicht entscheidend. Die Vorinstanz verweist punkto Strafzumessung vollumfänglich auf das erstinstanzliche Urteil, welches keine Vorstrafe erwähnt. Die erste Instanz geht in korrekter Weise davon aus, dass der Beschwerdeführer betreffend Cannabis "vorbelastet", aber nicht "vorbestraft" ist, da ihm das Gutachten aus dem Jahr 2012 eine Cannabis-Abhängigkeit attestiert. Dass die Vorinstanz die Vorbelastung mit einer Vorstrafe gleichsetzt, beruht auf einem falschen Verständnis des erstinstanzlichen Urteils. Dieser Fehlvorstellung kommt infolge des vorinstanzlichen Verweises auf die ermessenskonforme Strafzumessung der ersten Instanz jedoch keine selbständige Bedeutung zu. Es ist nicht ersichtlich, wieweit die Vorinstanz ihr Ermessen überschritten hätte. Insgesamt ist eine Busse von Fr. 500.-- nicht zu beanstanden. Die Rüge ist abzuweisen.</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