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43/2013 vom 11. Februar 2013</w:t>
      </w:r>
    </w:p>
    <w:p>
      <w:r>
        <w:t>Bundesgericht, 2013-02-11, DE</w:t>
      </w:r>
    </w:p>
    <w:p>
      <w:r>
        <w:rPr>
          <w:b/>
        </w:rPr>
        <w:t xml:space="preserve">Quelle: </w:t>
      </w:r>
      <w:r>
        <w:t>https://mcp.opencaselaw.ch/entscheid/bger_6B_43_2013</w:t>
      </w:r>
    </w:p>
    <w:p>
      <w:r>
        <w:t>FR: TF 6B 43/2013 du 11 février 2013</w:t>
      </w:r>
    </w:p>
    <w:p>
      <w:r>
        <w:t>IT: TF 6B 43/2013 del 11 febbraio 2013</w:t>
      </w:r>
    </w:p>
    <w:p>
      <w:pPr>
        <w:pStyle w:val="Heading2"/>
      </w:pPr>
      <w:r>
        <w:t>Regeste</w:t>
      </w:r>
    </w:p>
    <w:p>
      <w:r>
        <w:t>Mehrfacher Diebstahl usw. | Straftaten</w:t>
      </w:r>
    </w:p>
    <w:p>
      <w:pPr>
        <w:pStyle w:val="Heading2"/>
      </w:pPr>
      <w:r>
        <w:t>Erwägungen</w:t>
      </w:r>
    </w:p>
    <w:p>
      <w:r>
        <w:rPr>
          <w:b/>
        </w:rPr>
        <w:t>E. 1</w:t>
      </w:r>
    </w:p>
    <w:p>
      <w:r>
        <w:t>Die Beschwerdeführerin erklärte am 17. Juli 2012 die Berufung gegen ein Urteil des Landgerichts Uri. Am 11. Oktober 2012 wurde ihr die mündliche Berufungsverhandlung vom 5. Dezember 2012 angezeigt. Sie erschien nicht. Deshalb schrieb das Obergericht des Kantons Uri die Berufung am 11. Dezember 2012 als durch Rückzug erledigt ab. Zum Umstand, dass sie nicht zur Berufungsverhandlung erschienen ist, und zur Frage, ob die Berufung aus diesem Grund als zurückgezogen gelten kann, äussert sich die Beschwerdeführerin vor Bundesgericht nicht (vgl. act. 1 und 9). Die Beschwerde genügt folglich den Begründungsanforderungen von Art. 42 Abs. 2 bzw. Art. 106 Abs. 2 BGG nicht. Zur materiellen Seite der Angelegenheit, mit der sich die Vorinstanz nicht befasst hat, kann sich auch das Bundesgericht nicht äussern. Auf die Beschwerde ist im Verfahren nach Art. 108 BGG nicht einzutreten.</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