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43/2010 vom 19. August 2010</w:t>
      </w:r>
    </w:p>
    <w:p>
      <w:r>
        <w:t>Bundesgericht, 2010-08-19, FR</w:t>
      </w:r>
    </w:p>
    <w:p>
      <w:r>
        <w:rPr>
          <w:b/>
        </w:rPr>
        <w:t xml:space="preserve">Quelle: </w:t>
      </w:r>
      <w:r>
        <w:t>https://mcp.opencaselaw.ch/entscheid/bger_6B_43_2010</w:t>
      </w:r>
    </w:p>
    <w:p>
      <w:r>
        <w:t>FR: TF 6B 43/2010 du 19 août 2010</w:t>
      </w:r>
    </w:p>
    <w:p>
      <w:r>
        <w:t>IT: TF 6B 43/2010 del 19 agosto 2010</w:t>
      </w:r>
    </w:p>
    <w:p>
      <w:pPr>
        <w:pStyle w:val="Heading2"/>
      </w:pPr>
      <w:r>
        <w:t>Regeste</w:t>
      </w:r>
    </w:p>
    <w:p>
      <w:r>
        <w:t>Délit manqué d'escroquerie, escroquerie, faux dans les titres, blanchiment d'argent; prétentions civiles; violation du principe in dubio pro reo | Infractions</w:t>
      </w:r>
    </w:p>
    <w:p>
      <w:pPr>
        <w:pStyle w:val="Heading2"/>
      </w:pPr>
      <w:r>
        <w:t>Erwägungen</w:t>
      </w:r>
    </w:p>
    <w:p>
      <w:r>
        <w:rPr>
          <w:b/>
        </w:rPr>
        <w:t>E. 1</w:t>
      </w:r>
    </w:p>
    <w:p>
      <w:r>
        <w:t>Le recourant s'en prend en premier lieu au montant alloué à La Poste Suisse à titre de réparation du dommage subi par celle-ci. Il soutient que l'autorité cantonale devait faire application de l' art. 44 CO et admettre une réduction du préjudice en raison de la faute grave de D.________ d'une part, dont les représentants ont totalement négligé les risques importants liés à la possibilité d'interception de la transmission des ordres de paiement, et de La Poste Suisse d'autre part, qui a fait montre d'une absence totale de diligence au point qu'elle reconnaît elle-même, aux dires du recourant, que l'astuce n'était pas réalisée. Conformément à l' art. 44 al. 1 CO , le juge peut réduire les dommages-intérêts, ou même n'en point allouer, notamment lorsque des faits dont est responsable la partie lésée ont contribué à créer le dommage ou à l'augmenter.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VON TUHR/PETER, Allgemeiner Teil des Schweizerischen Obligationenrechts I,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En l'espèce, le recourant estime que les représentants de la lésée, D.________, ont commis une faute grave en négligeant les risques sérieux liés à la possible interception de la transmission d'ordres écrits par voie postale. Il se prévaut d'un arrêt du Tribunal fédéral duquel il ressort que le risque d'interception du courrier dans les boîtes aux lettres de la poste serait notoire. Il faut relever tout d'abord que l'arrêt en question (arrêt 4A_301/2007 du 31 octobre 2007) porte sur des faits ultérieurs à ceux qui sont à l'origine de la présente procédure. Ils concernent par ailleurs la région de Genève. Il n'est donc pas possible d'en conclure, comme le fait le recourant, que le risque d'interception de courrier déposé dans une boîte aux lettres était, d'une manière générale, notoire au moment des actes dont il a à répondre. Sur la base des éléments de fait contenus dans l'arrêt attaqué, on ne saurait qualifier de blâmable le comportement des employés de D.________ qui ont déposé des ordres de paiement dans une boîte aux lettres, ni admettre que toute personne raisonnable aurait agi différemment. De même, il ne ressort pas des constatations de l'autorité cantonale, qui seules peuvent être prises en considération par le Tribunal fédéral ( art. 105 al. 1 LTF ), que La Poste Suisse connaissait à l'époque les risques liés à l'usage de ses boîtes aux lettres. On peut relever de surcroît que même si tel avait été le cas, elle n'aurait été tenue envers la lésée que sur la base d'une responsabilité contractuelle avec faute, ce qui n'exclurait pas que, conformément à l' art. 51 al. 2 CO , la réparation du dommage soit mise à la charge du recourant, qui répond en vertu d'une responsabilité aquilienne.</w:t>
      </w:r>
    </w:p>
    <w:p>
      <w:r>
        <w:rPr>
          <w:b/>
        </w:rPr>
        <w:t>E. 2</w:t>
      </w:r>
    </w:p>
    <w:p>
      <w:r>
        <w:t>Le recourant conteste en outre avoir agi intentionnellement, fût-ce sous la forme du dol éventuel. Les infractions imputées au recourant sont toutes des infractions intentionnelles qui peuvent être commises par dol éventuel. Ainsi, l'élément subjectif est réalisé lorsque l'auteur envisage le résultat dommageable, mais agit néanmoins, même s'il ne le souhaite pas, parce qu'il s'en accommode pour le cas où il se produirait ( ATF 135 IV 152 consid. 2.3.2). Déterminer ce qu'une personne a su, envisagé, voulu ou accepté relève des constatations de faits, qui lient la Cour de droit pénal, à moins que ceux-ci n'aient été établis de façon manifestement inexacte. Est en revanche une question de droit celle de savoir si l'autorité cantonale s'est fondée sur une juste conception du dol éventuel et si elle l'a correctement appliquée au vu des éléments retenus ( ATF 135 IV 152 consid. 2.3.2). En l'espèce, s'agissant des faits exposés sous lettres C.a, C.b et C.d ci-dessus, l'autorité cantonale a considéré que compte tenu notamment des montants concernés ainsi que des circonstances dans lesquelles ceux-ci lui avaient été remis, le recourant ne pouvait qu'avoir des doutes sur la régularité des opérations en cause. Dans le cas qui fait l'objet de la lettre C.c, elle a admis qu'il avait connaissance de l'opération frauduleuse et qu'il s'y était associé pleinement. Pour sa part, le recourant expose sa version des faits, soutenant avoir été de bonne foi et n'avoir pas eu connaissance de la provenance délictueuse des fonds en cause. Ce grief est donc irrecevable puisque le recourant ne saurait s'écarter des constatations de fait contenues dans l'arrêt attaqué ( art. 97 la . LTF). Or, il ne fait qu'opposer sa propre appréciation des preuves à celle de l'autorité cantonale, sans montrer de manière circonstanciée en quoi l'état de fait attaqué serait insoutenable.</w:t>
      </w:r>
    </w:p>
    <w:p>
      <w:r>
        <w:rPr>
          <w:b/>
        </w:rPr>
        <w:t>E. 3</w:t>
      </w:r>
    </w:p>
    <w:p>
      <w:r>
        <w:t>Le recourant allègue, enfin, que l'élément constitutif de l'astuce n'est pas réalisé en raison de l'absence totale de diligence dont a fait montre La Poste Suisse. Il relève que cette dernière avait dans la procédure admis elle-même un certain manque de diligence de la part de ses employés, précisant que ceux-ci avaient fait une confiance excessive et que leur contrôle avait été quelque peu lacunaire. Le recourant en conclut que la Poste Suisse reconnaissait elle-même que l'élément constitutif de l'astuce n'était pas réalisé. 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notamment lorsque l'auteur recourt à un édifice de mensonges, à des manoeuvres frauduleuses ou à une mise en scène ( ATF 133 IV 256 consid. 4.4.3). On admet qu'il y a manoeuvre frauduleuse, par exemple, si l'auteur emploie un document faux (CORBOZ, Les infractions en droit suisse, vol. I, Berne 2002, n. 18, 146 CP, p. 305).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 ATF 128 IV 18 consid. 3a p. 20). Le degré de prudence que l'on peut attendre de la dupe dépend de la situation personnelle de cette dernière ( ATF 135 IV 76 consid. 5.2 p. 80). En l'espèce, dans les cas mentionnés sous lettres C.a, C.b, et C.d, le recourant a fait usage de chèques falsifiés, réalisant ainsi manifestement la condition de l'astuce, ce qu'il ne semble au demeurant pas remettre en cause. En effet, il fonde son grief, qu'il mêle avec celui dirigé contre le montant accordé à La poste Suisse à titre de réparation du dommage, sur l'argument selon lequel cette dernière aurait pu éviter d'être trompée si elle avait fait preuve du minimum de diligence. Il fait ainsi implicitement référence aux seuls faits exposés sous lettre C.c. Dans ce cas, le recourant a fait usage d'un ordre de paiement qui avait été dérobé dans une boîte aux lettres et a remplacé le bulletin de versement qui l'accompagnait par un autre, préimprimé, libellé au bénéfice d'un CCP dont il était titulaire. Il a ensuite fait transférer la somme sur un autre CCP, ouvert à son nom ainsi qu'à celui de son épouse, avant de la retirer intégralement par plusieurs prélèvements effectués dans différents offices postaux. Dans ces circonstances, même si La Poste Suisse a considéré qu'un excès de confiance, voire un contrôle un peu lacunaire, pouvait lui être reproché et a indemnisé la société qui a subi le préjudice, on ne saurait considérer que ses employés ne se sont pas conformés aux règles de prudence élémentaires qui s'imposaient à elle. Comme cela a été rappelé plus haut, la jurisprudence n'exige pas de la dupe qu'elle ait recouru à tous les moyens dont elle disposait pour éviter d'être trompée. Il est donc concevable que la dupe admette un manque de diligence sans toutefois que celui-ci soit suffisamment important pour exclure que l'élément constitutif de l'astuce soit réalisé. Tel est le cas en l'espèce.</w:t>
      </w:r>
    </w:p>
    <w:p>
      <w:r>
        <w:rPr>
          <w:b/>
        </w:rPr>
        <w:t>E. 4</w:t>
      </w:r>
    </w:p>
    <w:p>
      <w:r>
        <w:t>Mal fondé, le recours doit être rejeté, les frais étant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