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6B_43/2007 vom 12. November 2007</w:t>
      </w:r>
    </w:p>
    <w:p>
      <w:r>
        <w:t>Bundesgericht, 2007-11-12, DE</w:t>
      </w:r>
    </w:p>
    <w:p>
      <w:r>
        <w:rPr>
          <w:b/>
        </w:rPr>
        <w:t xml:space="preserve">Quelle: </w:t>
      </w:r>
      <w:r>
        <w:t>https://mcp.opencaselaw.ch/entscheid/bger_6B_43_2007</w:t>
      </w:r>
    </w:p>
    <w:p>
      <w:r>
        <w:t>FR: TF 6B_43/2007 du 12 novembre 2007</w:t>
      </w:r>
    </w:p>
    <w:p>
      <w:r>
        <w:t>IT: TF 6B_43/2007 del 12 novembre 2007</w:t>
      </w:r>
    </w:p>
    <w:p>
      <w:pPr>
        <w:pStyle w:val="Heading2"/>
      </w:pPr>
      <w:r>
        <w:t>Erwägungen</w:t>
      </w:r>
    </w:p>
    <w:p>
      <w:r>
        <w:rPr>
          <w:b/>
        </w:rPr>
        <w:t>E. 1.1</w:t>
      </w:r>
    </w:p>
    <w:p>
      <w:r>
        <w:t>Die angefochtene Entscheidung ist nach dem Datum des Inkrafttretens des Bundesgesetzes über das Bundesgericht (BGG, SR 173.110) ergangen (vgl. AS 2006, 1242). Die Beschwerde untersteht daher neuem Recht ( Art. 132 Abs. 1 BGG ).</w:t>
      </w:r>
    </w:p>
    <w:p>
      <w:r>
        <w:t>Auf die Beschwerde ist einzutreten, da sie unter Einhaltung der gesetzlichen Frist ( Art. 100 Abs. 1 BGG ) und Form ( Art. 42 BGG ) von der in ihren Anträgen unterliegenden Staatsanwaltschaft (Art. 81 Abs. 1 lit. b Ziff. 3 BGG) eingereicht wurde und sich gegen einen von einer letzten kantonalen Instanz ( Art. 80 BGG ) gefällten Endentscheid ( Art. 90 BGG ) in Strafsachen ( Art. 80 Abs. 1 BGG ) richtet.</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 E. 1.4).</w:t>
      </w:r>
    </w:p>
    <w:p>
      <w:r>
        <w:rPr>
          <w:b/>
        </w:rPr>
        <w:t>E. 2</w:t>
      </w:r>
    </w:p>
    <w:p>
      <w:r>
        <w:t>Die Beschwerdeführerin wendet sich einzig gegen den vollumfänglichen Aufschub des Vollzugs der Freiheitsstrafe bzw. dagegen, dass die Umstände, die den teilbedingten Strafvollzug rechtfertigten oder ausschlössen, im angefochtenen Urteil nicht festgehalten worden seien (Beschwerdeschrift S. 3).</w:t>
      </w:r>
    </w:p>
    <w:p>
      <w:r>
        <w:t>Die Beschwerdeführerin weist vorab darauf hin, dass sie bereits im Verfahren vor der Vorinstanz mit Eingabe vom 12. Dezember 2006 den teilbedingten Strafvollzug beantragt habe (Beschwerdeschrift S. 3). In materieller Hinsicht macht die Beschwerdeführerin weiter geltend, die ausgesprochene Freiheitsstrafe von 20 Monaten bewege sich zwar innerhalb des der Vorinstanz zustehenden Ermessensspielraums (Beschwerdeschrift S. 5), und auch die Voraussetzungen zur Gewährung des bedingten Strafvollzugs könnten vorliegend bejaht werden (Beschwerdeschrift S. 6). Hingegen stelle ein vollständig bedingter Vollzug der Strafe im konkreten Fall keine dem schweren Verschulden des Beschwerdegegners angemessene Sanktionierung dar; sachgerecht und erforderlich sei vielmehr der Teilvollzug der Strafe (Beschwerdeschrift S. 7).</w:t>
      </w:r>
    </w:p>
    <w:p>
      <w:r>
        <w:t>1</w:t>
      </w:r>
    </w:p>
    <w:p>
      <w:r>
        <w:t>Indem die Vorinstanz einerseits zwar ausdrücklich eingeräumt habe, das Verschulden des Beschwerdegegners wiege schwer, andererseits jedoch - ohne mit einem Wort auf die Möglichkeit des teilbedingten Vollzugs einzugehen - den Vollzug der Strafe vollständig aufgeschoben habe, habe sie ihre Begründungspflicht verletzt (Beschwerdeschrift S. 6 und S. 8).</w:t>
      </w:r>
    </w:p>
    <w:p>
      <w:r>
        <w:rPr>
          <w:b/>
        </w:rPr>
        <w:t>E. 3.1</w:t>
      </w:r>
    </w:p>
    <w:p>
      <w:r>
        <w:t>Am 1. Januar 2007 ist die Revision des Allgemeinen Teils des Strafgesetzbuches in Kraft getreten. Sie brachte eine grundlegende Neuordnung des Sanktionensystems (Botschaft des Bundesrates zur Änderung des Schweizerischen Strafgesetzbuches vom 21. September 1998; BBl 1999 II S. 1984). Zentrales Anliegen der Revision war das Zurückdrängen der kurzen Freiheitsstrafe, die Einführung alternativer Sanktionen wie der Geldstrafe oder der gemeinnützigen Arbeit als eigenständige Sanktionsform sowie die Ausdehnung des bedingten Strafvollzuges (bundesrätliche Botschaft, S. 2017 ff., 2024 ff., 2032 ff., 2048 ff.). Daneben wurde die sog. teilbedingte Strafe als Mittellösung zwischen dem vollständigen Aufschub der Strafe und deren Vollzug eingeführt.</w:t>
      </w:r>
    </w:p>
    <w:p>
      <w:r>
        <w:rPr>
          <w:b/>
        </w:rPr>
        <w:t>E. 3.2</w:t>
      </w:r>
    </w:p>
    <w:p>
      <w:r>
        <w:t>Art. 42 StGB ("bedingte Strafen") regelt die Gewährung des bedingten Strafvollzuges: Das Gericht schiebt den Vollzug einer Freiheitsstrafe von mindestens sechs Monaten und höchstens zwei Jahren in der Regel auf, wenn eine unbedingte Strafe nicht notwendig erscheint, um den Täter von der Begehung weiterer Verbrechen oder Vergehen abzuhalten ( Art. 42 Abs. 1 StGB ). Eine bedingte Strafe kann mit einer unbedingten Geldstrafe oder mit einer Busse nach Artikel 106 verbunden werden ( Art. 42 Abs. 4 StGB ).</w:t>
      </w:r>
    </w:p>
    <w:p>
      <w:r>
        <w:rPr>
          <w:b/>
        </w:rPr>
        <w:t>E. 3.3</w:t>
      </w:r>
    </w:p>
    <w:p>
      <w:r>
        <w:t>In subjektiver Hinsicht hat das Gericht für die Gewährung des bedingten Strafvollzuges wie bisher eine Prognose über das zukünftige Verhalten des Täters zu stellen.</w:t>
      </w:r>
    </w:p>
    <w:p>
      <w:r>
        <w:rPr>
          <w:b/>
        </w:rPr>
        <w:t>E. 3.3.1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rPr>
          <w:b/>
        </w:rPr>
        <w:t>E. 3.3.2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 Art. 41 Ziff. 1 StGB a. F.).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w:t>
      </w:r>
    </w:p>
    <w:p>
      <w:r>
        <w:t>Nach Art. 42 Abs. 1 StGB hat das Gericht neu den Vollzug der Strafe in der Regel aufzuschieben, "wenn eine unbedingte Strafe nicht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S. 2049; Günter Stratenwerth, Schweizerisches Strafrecht, Allgemeiner Teil II, 2. Aufl., Bern 2006, § 5 Rz. 38 S. 139).</w:t>
      </w:r>
    </w:p>
    <w:p>
      <w:r>
        <w:rPr>
          <w:b/>
        </w:rPr>
        <w:t>E. 3.4</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S. 2050).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(Stratenwerth,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werden (ähnlich: Greiner, a.a.O., S. 101). Das trifft etwa zu, wenn die neuerliche Straftat mit der früheren Verurteilung in keinerlei Zusammenhang steht, oder bei einer besonders positiven Veränderung in den Lebensumständen des Täters (Botschaft, S. 2050; Greiner, a.a.O., S. 101; Stratenwerth, a.a.O., § 5 Rz. 42 S. 141). Jedenfalls ist bei eindeutig günstiger Prognose der Strafaufschub stets zu gewähren (vgl. Stratenwerth, a.a.O., § 5 Rz. 42 S. 141).</w:t>
      </w:r>
    </w:p>
    <w:p>
      <w:r>
        <w:t>Die Vorschrift von Art. 42 Abs. 2 StGB stellt klar, dass der Rückfall für sich genommen den bedingten Strafvollzug nicht auszuschliessen vermag, im Gegensatz zum früheren Recht ( Art. 41 Ziff. 1 Abs. 2 StGB a.F.).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rPr>
          <w:b/>
        </w:rPr>
        <w:t>E. 3.5</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3.6</w:t>
      </w:r>
    </w:p>
    <w:p>
      <w:r>
        <w:t>In objektiver Hinsicht setzt der Aufschub einer Freiheitsstrafe einzig eine Untergrenze (mindestens sechs Monate) und eine Obergrenze (höchstens zwei Jahre) voraus, womit die Zulässigkeitsschranke des bedingten Strafvollzuges von bisher 18 Monaten angehoben wurde.</w:t>
      </w:r>
    </w:p>
    <w:p>
      <w:r>
        <w:rPr>
          <w:b/>
        </w:rPr>
        <w:t>E. 3.7</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S. 2048, 2052).</w:t>
      </w:r>
    </w:p>
    <w:p>
      <w:r>
        <w:rPr>
          <w:b/>
        </w:rPr>
        <w:t>E. 3.8.1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BBl 2005 S. 4689, 4695, 4699 ff.). Insoweit, also im Bereich der leichten Kriminalität, übernimmt sie auch Aufgaben der Generalprävention.</w:t>
      </w:r>
    </w:p>
    <w:p>
      <w:r>
        <w:rPr>
          <w:b/>
        </w:rPr>
        <w:t>E. 3.8.2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w:t>
      </w:r>
    </w:p>
    <w:p>
      <w:r>
        <w:rPr>
          <w:b/>
        </w:rPr>
        <w:t>E. 4.1</w:t>
      </w:r>
    </w:p>
    <w:p>
      <w:r>
        <w:t>Mit Art. 43 StGB (dt. "teilbedingte Strafen"; frz. "sursis partiel à l'exécution de la peine; ital. "pene con condizionale parziale") wird für die schweizerische Rechtsordnung ein bislang unbekanntes Institut eingeführt: Das Gericht kann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w:t>
      </w:r>
    </w:p>
    <w:p>
      <w:r>
        <w:rPr>
          <w:b/>
        </w:rPr>
        <w:t>E. 4.2</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S. 2052 f.).</w:t>
      </w:r>
    </w:p>
    <w:p>
      <w:r>
        <w:t>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NR Cina, Leuthard und de Dardel, AB 2001 N 561 f.; zum Zusammenhang: Karl-Ludwig Kunz, Zur Neugestaltung der Sanktionen des Schweizerischen Erwachsenenstrafrechtes, ZStrR 117/1999 S. 248; André Kuhn, Le sursis et le sursis partiel selon le nouveau Code pénal, ZStrR 121/2003 S. 273).</w:t>
      </w:r>
    </w:p>
    <w:p>
      <w:r>
        <w:t>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S. 2309). Im Auftrag der Rechtskommission des Ständerates erarbeitete die Verwaltung in der Folge einen Vorschlag zum sursis partiel,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hrsg. von Brigitte Tag/Max Hauri, Zürich 2006, S. 90 f.).</w:t>
      </w:r>
    </w:p>
    <w:p>
      <w:r>
        <w:rPr>
          <w:b/>
        </w:rPr>
        <w:t>E. 4.3.1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Schwarzenegger/Hug/Jositsch, Strafrecht II, 8. Aufl., Zürich 2007, S. 130 ff.; a.M. Kuhn, a.a.O., ZStrR 121/2003 S. 273 und Anm. 36).</w:t>
      </w:r>
    </w:p>
    <w:p>
      <w:r>
        <w:rPr>
          <w:b/>
        </w:rPr>
        <w:t>E. 4.3.2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4.3.3</w:t>
      </w:r>
    </w:p>
    <w:p>
      <w:r>
        <w:t>Die Voraussetzung, dass eine teilbedingte Strafe nach Art. 43 StGB notwendig ist, um dem Verschulden des Täters genügend Rechnung zu tragen, d.h. in angemessener Weise (so der französische Wortlaut: de façon appropriée),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w:t>
      </w:r>
    </w:p>
    <w:p>
      <w:r>
        <w:t>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4.4</w:t>
      </w:r>
    </w:p>
    <w:p>
      <w:r>
        <w:t>Zu klären ist, ob für Freiheitsstrafen bis zwei Jahre (im überschneidenden Anwendungsbereich von Art. 42/43 StGB) eine ähnliche Verknüpfung im Hinblick auf anerkannte Strafzwecke zu erfolgen hat.</w:t>
      </w:r>
    </w:p>
    <w:p>
      <w:r>
        <w:rPr>
          <w:b/>
        </w:rPr>
        <w:t>E. 4.4.1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andre Kriterium stärker hervortritt ( BGE 124 IV 246 E. 2b S. 248; 120 IV 1 E. 2b S. 4, je mit Hinweisen).</w:t>
      </w:r>
    </w:p>
    <w:p>
      <w:r>
        <w:rPr>
          <w:b/>
        </w:rPr>
        <w:t>E. 4.4.2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leisten (zum Ganzen Markus Hans Knüsel, Die teilbedingte Freiheitsstrafe, Diss. Bern 1995, S. 92, 124, 175 ff. und passim).</w:t>
      </w:r>
    </w:p>
    <w:p>
      <w:r>
        <w:rPr>
          <w:b/>
        </w:rPr>
        <w:t>E. 4.4.3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Rz. 50 S. 144; vgl. aber Ders., Die Wahl der Sanktionen, insbesondere nach revidiertem AT StGB, in: Strafjustiz und Rechtsstaat, hrsg. von Marcel Alexander Niggli/Nicolas Queloz,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 dürfte. Der Strafzweck des Schuldausgleichs (das Vergeltungsprinzip) besagt denn auch nur, dass die Strafe der Grösse der Schuld entsprechen soll, was eine drastische Bestrafung des Täters bei geringem Verschulden verbietet (Claus Roxin, Strafrecht, Allgemeiner Teil, Band I, 4. Aufl., München 2006, § 3 Rz. 2 ff., insbes.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w:t>
      </w:r>
    </w:p>
    <w:p>
      <w:r>
        <w:t>Ebenso wenig kann massgebend sein, ob die teilweise Vollstreckung der Strafe unter generalpräventiven Gesichtspunkten als geboten erscheint, um andere von der Begehung von Verbrechen oder Vergehen abzuhalten. Eine solche Vorbehaltsklausel, wie sie das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rPr>
          <w:b/>
        </w:rPr>
        <w:t>E. 4.5</w:t>
      </w:r>
    </w:p>
    <w:p>
      <w:r>
        <w:t>Nach den dargelegten Grundsätzen ist der Anwendungsbereich der teilbedingten Freiheitsstrafen im Sinne von Art. 43 StGB zu konkretisieren.</w:t>
      </w:r>
    </w:p>
    <w:p>
      <w:r>
        <w:rPr>
          <w:b/>
        </w:rPr>
        <w:t>E. 4.5.1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hrsg. von Brigitte Tag/Max Hauri, Zürich 2006, S. 131).</w:t>
      </w:r>
    </w:p>
    <w:p>
      <w:r>
        <w:rPr>
          <w:b/>
        </w:rPr>
        <w:t>E. 4.5.2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hrsg. von Frank Höpfel/Eckart Ratz, 2. Aufl., Wien 2003, N. 11 zu § 43a Abs. 3). Damit verhält es sich ähnlich wie bei der Beurteilung der Bewährungsaussichten im Fall eines Widerrufs einer bedingt ausgesprochenen Freiheitsstrafe ( BGE 116 IV 97 ).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4.6</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5</w:t>
      </w:r>
    </w:p>
    <w:p>
      <w:r>
        <w:t>Im zu beurteilenden Fall stellt sich die Rechtslage wie folgt dar:</w:t>
      </w:r>
    </w:p>
    <w:p>
      <w:r>
        <w:rPr>
          <w:b/>
        </w:rPr>
        <w:t>E. 5.1</w:t>
      </w:r>
    </w:p>
    <w:p>
      <w:r>
        <w:t>Die Vorinstanz hat sich im angefochtenen Urteil nicht mit der Frage des teilbedingten Vollzugs auseinandergesetzt, obwohl der Beschwerdegegner vorbestraft ist wegen Missachtens der zulässigen Höchstgeschwindigkeit sowie Nichttragens des Sicherheitsgurtes (Strafbefehl des Bezirksamts Baden vom 15. Juli 1999, vorinstanzliche Akten, act. 2) und wegen grober Verletzung von Verkehrsregeln (Strafmandat des Kreispräsidenten Fünf Dörfer vom 22. Juni 2001, vorinstanzliche Akten, act 2) und obgleich ihm der Führerausweis innert kurzer Zeit insgesamt vier Mal entzogen worden ist (vgl. angefochtenes Urteil S. 20 f., E. 4.6.4.1). Vorliegend kann offengelassen werden, ob das Gericht sich bei Freiheitsstrafen im überschneidenden Anwendungsbereich von Art. 42 und Art. 43 StGB bei zweifelsfreier Bejahung der Voraussetzungen des bedingten Vollzugs in jedem Fall ausdrücklich mit Art. 43 StGB zu befassen hat oder ob sich dessen Nicht-Anwendung nicht auch stillschweigend ergeben kann. In Fällen jedenfalls, in welchen die Staatsanwaltschaft den teilbedingten Vollzug explizit beantragt und frühere Verurteilungen zumindest Zweifel an der Legalbewährung des Täters aufkommen lassen, hat es zu begründen, weshalb es den teilbedingten Vollzug als nicht notwendig einstuft (vgl. auch E. 3.3.1 hiervor).</w:t>
      </w:r>
    </w:p>
    <w:p>
      <w:r>
        <w:t>Aus dem angefochtenen Urteil ergibt sich nicht, ob die Vorinstanz die Möglichkeit des teilbedingten Strafvollzugs überhaupt in Betracht gezogen hat. Vielmehr ist ebenso denkbar, dass sie - trotz des ausdrücklichen Antrags der Beschwerdeführerin - in Verkennung der Rechtslage von der falschen Annahme ausgegangen ist, dass sich bei Bejahung der Voraussetzungen des bedingten Strafvollzugs die Frage des teilbedingten Vollzugs im vorliegenden Fall gar nicht stellt (vgl. insbesondere E. 4.5.2 hiervor).</w:t>
      </w:r>
    </w:p>
    <w:p>
      <w:r>
        <w:t>Im Ergebnis hat die Vorinstanz folglich die ihr obliegende Begründungspflicht verletzt. Die Beschwerde ist deshalb gutzuheissen und das angefochtene Urteil insoweit aufzuheben. Bei ihrer Neubeurteilung wird die Vorinstanz zu prüfen haben, ob der teilweise Vollzug der Freiheitsstrafe für die Erhöhung der Bewährungsaussichten des Beschwerdegegners unumgänglich erscheint.</w:t>
      </w:r>
    </w:p>
    <w:p>
      <w:r>
        <w:rPr>
          <w:b/>
        </w:rPr>
        <w:t>E. 5.2</w:t>
      </w:r>
    </w:p>
    <w:p>
      <w:r>
        <w:t>Die Aufhebung des angefochtenen Entscheids ist überdies aus einem weiteren Grund geboten:</w:t>
      </w:r>
    </w:p>
    <w:p>
      <w:r>
        <w:t>Die Vorinstanz hat im Rahmen ihrer Ausführungen zur Strafzumessung geschlossen, sie erachte eine Freiheitsstrafe von 20 Monaten als dem Verschulden des Beschwerdegegners angemessen (angefochtenes Urteil S. 19 f., E. 4.5). Alsdann hat sie gefolgert, in Anbetracht des schwerwiegenden Verschuldens sei gestützt auf Art. 42 Abs. 4 StGB zusätzlich eine Busse nach Art. 106 StGB in der Höhe von Fr. 1'000.-- auszufällen (angefochtenes Urteil S. 24, E. 4.7.1).</w:t>
      </w:r>
    </w:p>
    <w:p>
      <w:r>
        <w:t>Wie dargelegt (vgl. E. 3.8.2 hiervor), darf im Rahmen der Strafkombination von Art. 42 Abs. 4 StGB die unbedingte Verbindungsgeldstrafe bzw. Busse nicht zu einer Straferhöhung führen oder eine zusätzliche Strafe ermöglichen. Bewertet das Gericht ein Strafmass von 20 Monaten als insgesamt schuldangemessen und erachtet es in Anwendung von Art. 42 Abs. 4 StGB eine Strafenkombination als sachgerecht, so haben die beiden Sanktionen in ihrer Summe schuldangemessen zu sein. Hieraus folgt, dass bei Verhängung einer Busse von Fr. 1'000.-- eine bedingte Freiheitsstrafe von weniger als 20 Monaten auszusprechen ist.</w:t>
      </w:r>
    </w:p>
    <w:p>
      <w:r>
        <w:t>Die Vorinstanz hat demnach Art. 42 Abs. 4 StGB unrichtig angewendet.</w:t>
      </w:r>
    </w:p>
    <w:p>
      <w:r>
        <w:rPr>
          <w:b/>
        </w:rPr>
        <w:t>E. 6</w:t>
      </w:r>
    </w:p>
    <w:p>
      <w:r>
        <w:t>Zusammenfassend ist festzuhalten, dass die Vorinstanz einerseits unter Verletzung der Begründungspflicht nicht auf die Frage des teilbedingten Vollzugs eingegangen ist und andererseits Art. 42 Abs. 4 StGB verletzt hat. Die Beschwerde ist deshalb gutzuheissen, das angefochtene Urteil aufzuheben und die Sache zur Neubeurteilung an die Vorinstanz zurückzuweisen.</w:t>
      </w:r>
    </w:p>
    <w:p>
      <w:r>
        <w:t>Dem Beschwerdegegner, der eventualiter die Gutheissung der Beschwerde und die Rückweisung der Sache zur Neubeurteilung an die Vorinstanz beantragt hat, sind keine Kosten aufzuerlegen.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