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6B_439/2024 vom 20. Dezember 2024</w:t>
      </w:r>
    </w:p>
    <w:p>
      <w:r>
        <w:t>Bundesgericht, 2024-12-20, FR</w:t>
      </w:r>
    </w:p>
    <w:p>
      <w:r>
        <w:rPr>
          <w:b/>
        </w:rPr>
        <w:t xml:space="preserve">Quelle: </w:t>
      </w:r>
      <w:r>
        <w:t>https://mcp.opencaselaw.ch/entscheid/bger_6B_439_2024</w:t>
      </w:r>
    </w:p>
    <w:p>
      <w:r>
        <w:t>FR: TF 6B_439/2024 du 20 décembre 2024</w:t>
      </w:r>
    </w:p>
    <w:p>
      <w:r>
        <w:t>IT: TF 6B_439/2024 del 20 dicembre 2024</w:t>
      </w:r>
    </w:p>
    <w:p>
      <w:pPr>
        <w:pStyle w:val="Heading2"/>
      </w:pPr>
      <w:r>
        <w:t>Erwägungen</w:t>
      </w:r>
    </w:p>
    <w:p>
      <w:r>
        <w:rPr>
          <w:b/>
        </w:rPr>
        <w:t>E. 1</w:t>
      </w:r>
    </w:p>
    <w:p>
      <w:r>
        <w:t>Invoquant un établissement, une appréciation arbitraire des faits et des moyens de preuves et une violation du principe</w:t>
      </w:r>
    </w:p>
    <w:p>
      <w:r>
        <w:t>in dubio pro reo , le recourant conteste ses condamnations pour tentative de lésions corporelles simples, lésions corporelles simples, voies de fait, appropriation illégitime d'importance mineure, dommages à la propriété, injure, violation de domicile, menaces et contrainte sexuelle.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t>Lorsque l'appréciation des preuves et la constatation des faits sont critiquées en référence au principe</w:t>
      </w:r>
    </w:p>
    <w:p>
      <w:r>
        <w:t>in dubio pro reo , celui-ci n'a pas de portée plus large que l'interdiction de l'arbitraire ( ATF 148 IV 409 consid. 2.2; 146 IV 88 consid. 1.3.1; 145 IV 154 consid. 1.1).</w:t>
      </w:r>
    </w:p>
    <w:p>
      <w:r>
        <w:t>Les déclarations de la victime constituent un élément de preuve. Le juge doit, dans l'évaluation globale de l'ensemble des éléments probatoires rassemblés au dossier, les apprécier librement (arrêts 6B_848/2022 du 21 juin 2023 consid. 2.1.3; 6B_894/2021 du 28 mars 2022 consid. 2.3 non publié in ATF 148 IV 234 ).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 6B_848/2022 du 21 juin 2023 consid. 2.1.3).</w:t>
      </w:r>
    </w:p>
    <w:p>
      <w:r>
        <w:t>En l'espèce, le recours porte essentiellement sur l'établissement des faits que le recourant taxe d'arbitraire. Sous couvert de tels griefs, l'argumentation proposée procède d'une vaste rediscussion des déclarations émises par les parties aux différents stades de la procédure et autres éléments de preuve ressortant du dossier. Elle se résume à soulever des faits non pertinents, notamment dans le but de décrédibiliser les intimées, et à opposer son appréciation à celle de la cour cantonale. C'est notamment le cas de son argumentation dans le cadre des faits qui se sont déroulés le 24 avril 2019 (cf.</w:t>
      </w:r>
    </w:p>
    <w:p>
      <w:r>
        <w:t>supra B.a), le 18 octobre 2019 (cf.</w:t>
      </w:r>
    </w:p>
    <w:p>
      <w:r>
        <w:t>supra B.c), le 3 décembre 2019 (cf.</w:t>
      </w:r>
    </w:p>
    <w:p>
      <w:r>
        <w:t>supra B.d), le 14 août 2020 (cf.</w:t>
      </w:r>
    </w:p>
    <w:p>
      <w:r>
        <w:t>supra B.f), le 16 août 2020 (cf.</w:t>
      </w:r>
    </w:p>
    <w:p>
      <w:r>
        <w:t>supra B.g), le 6 octobre 2020 (cf.</w:t>
      </w:r>
    </w:p>
    <w:p>
      <w:r>
        <w:t>supra B.h) et le 2 janvier 2021 (cf.</w:t>
      </w:r>
    </w:p>
    <w:p>
      <w:r>
        <w:t>supra B.j) où il explique notamment qu'il est peu probable qu'une femme, prétendant avoir reçu quatre coups de poing sur le visage et serait tombée au sol, n'aurait finalement aucune trace sur le reste du corps malgré sa chute, que l'intimée 2 ment lorsqu'elle indique qu'elle aurait immédiatement appelé la police ou que l'expérience de la vie apprend qu'en cas d'étranglement des traces sont généralement visibles. De tels moyens sont typiquement de nature appellatoire. On n'y répondra, dans la suite, pour autant qu'ils n'apparaissent pas d'emblée irrecevables pour cette raison.</w:t>
      </w:r>
    </w:p>
    <w:p>
      <w:r>
        <w:rPr>
          <w:b/>
        </w:rPr>
        <w:t>E. 1.2</w:t>
      </w:r>
    </w:p>
    <w:p>
      <w:r>
        <w:t>Invoquant un établissement arbitraire des faits et une violation du principe</w:t>
      </w:r>
    </w:p>
    <w:p>
      <w:r>
        <w:t>in dubio pro reo , le recourant conteste sa condamnation pour lésions corporelles simples et tentative de lésions corporelles simples, dans le cadre des faits qui se sont déroulés les 20 juillet 2019 et 9 janvier 2020, et, subsidiairement, conteste leur qualification juridique. Selon lui, une bosse sur le front, respectivement une morsure, seraient constitutives de voies de fait.</w:t>
      </w:r>
    </w:p>
    <w:p>
      <w:r>
        <w:rPr>
          <w:b/>
        </w:rPr>
        <w:t>E. 1.2.1</w:t>
      </w:r>
    </w:p>
    <w:p>
      <w:r>
        <w:t>Les voies de fait, réprimées par l' art. 126 CP , se définissent comme des atteintes physiques qui excèdent ce qui est socialement toléré et qui ne causent ni lésions corporelles, ni dommages à la santé. Une telle atteinte peut exister même si elle n'a causé aucune douleur physique ( ATF 134 IV 189 consid. 1.2; arrêt 6B_1257/2023 du 18 juin 2024 consid. 2.1.2). L'atteinte au sens de l' art. 126 CP suppose une certaine intensité (arrêt 6B_1257/2023 précité consid. 2.1.2). Peuvent être qualifiées de voies de fait, une gifle, un coup de poing ou de pied, de fortes bourrades avec les mains ou les coudes (arrêts 6B_1257/2023 précité consid. 2.1.2).</w:t>
      </w:r>
    </w:p>
    <w:p>
      <w:r>
        <w:t>La distinction entre lésions corporelles et voies de fait peut s'avérer délicate, notamment lorsque l'atteinte s'est limitée à des meurtrissures, des écorchures, des griffures ou des contusions ( ATF 134 IV 189 consid. 1.3 et l'arrêt cité; cf. arrêt 6B_1257/2023 précité consid. 2.1.2). Dans les cas limites, il faut tenir compte de l'importance de la douleur provoquée, afin de déterminer s'il s'agit de lésions corporelles simples ou de voies de fait ( ATF 134 IV 189 consid. 1.3; arrêt 6B_964/2023 du 17 avril 2024 consid. 4.1).</w:t>
      </w:r>
    </w:p>
    <w:p>
      <w:r>
        <w:t>Comme les notions de voies de fait et d'atteinte à l'intégrité corporelle, qui sont déterminantes pour l'application des art. 123 et 126 CP , sont des notions juridiques indéterminées, la jurisprudence reconnaît, dans les cas limites,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 ATF 134 IV 189 consid. 1.3; arrêt 6B_1257/2023 précité consid. 2.1.2).</w:t>
      </w:r>
    </w:p>
    <w:p>
      <w:r>
        <w:rPr>
          <w:b/>
        </w:rPr>
        <w:t>E. 1.2.2</w:t>
      </w:r>
    </w:p>
    <w:p>
      <w:r>
        <w:t>En l'espèce, s'agissant des faits survenus le 20 juillet 2019, la cour cantonale a fondé son verdict de culpabilité sur la version crédible et constante présentée par la victime, soit que le recourant, présent à son domicile le 20 juillet 2019 - élément qui a été admis par ce dernier (cf. arrêt attaqué, p. 29) -, lui avait porté des coups de poing et occasionné une bosse sur la partie gauche de son front. Ces déclarations ont été corroborées par les constatations des policiers qui ont retrouvé l'intimée 2 choquée et en pleurs, ainsi que par les constatations médicales.</w:t>
      </w:r>
    </w:p>
    <w:p>
      <w:r>
        <w:t>Dans ses développements, en lien avec les accusations portées à son encontre dans le cadre des faits du 20 juillet 2019 - où le recourant s'attache à reproduire les déclarations de la victime et tente de décrédibiliser son récit en le qualifiant d'invraisemblable car dû à son état d'ébriété - et ceux qui se sont déroulés le 9 janvier 2020 où il indique simplement que l'affirmation de la cour cantonale ne saurait être suivie, il se borne essentiellement dans une démarche appellatoire et, partant, irrecevable, à opposer son appréciation des faits à celle opérée par la cour cantonale (cf.</w:t>
      </w:r>
    </w:p>
    <w:p>
      <w:r>
        <w:t>supra consid. 1.1). La cour cantonale n'a donc pas versé dans l'arbitraire, ni méconnu la présomption d'innocence, en tenant les faits dénoncés par la victime pour établis.</w:t>
      </w:r>
    </w:p>
    <w:p>
      <w:r>
        <w:t>Il est donc établi, sans que l'arbitraire n'en soit démontré, que le recourant a porté des coups de poing au visage de l'intimée 2 de manière suffisamment forte pour provoquer une bosse et a tenté de la mordre lors d'une altercation. Le premier événement a marqué l'intimée 2 qui a été retrouvée par la police choquée et en pleurs. Le second, a nécessité l'intervention d'un tiers (cf. arrêt attaqué, p. 30). Ces éléments tendent à démontrer une certaine ampleur de l'atteinte peu compatible avec la qualification de voies de fait.</w:t>
      </w:r>
    </w:p>
    <w:p>
      <w:r>
        <w:t>Cela dit, compte tenu de la marge d'appréciation dont dispose le juge du fait dans pareilles constellations (cf.</w:t>
      </w:r>
    </w:p>
    <w:p>
      <w:r>
        <w:t>supra consid. 1.2.1), la cour de céans ne saurait s'écarter de la solution cantonale quant à l'élément constitutif objectif des lésions corporelles simples.</w:t>
      </w:r>
    </w:p>
    <w:p>
      <w:r>
        <w:t>Dans la configuration d'espèce, la condamnation du recourant pour lésions corporelles simples et tentative de lésions corporelles simples ne prête pas flanc à la critique.</w:t>
      </w:r>
    </w:p>
    <w:p>
      <w:r>
        <w:rPr>
          <w:b/>
        </w:rPr>
        <w:t>E. 1.3</w:t>
      </w:r>
    </w:p>
    <w:p>
      <w:r>
        <w:t>Le recourant conteste l'élément de contrainte dans le cadre de sa condamnation pour contrainte sexuelle. Il estime que la crainte exprimée par l'intimée 1 n'était pas de nature à l'empêcher d'opposer une résistance importante notamment en criant ou en sortant du lit.</w:t>
      </w:r>
    </w:p>
    <w:p>
      <w:r>
        <w:rPr>
          <w:b/>
        </w:rPr>
        <w:t>E. 1.3.1</w:t>
      </w:r>
    </w:p>
    <w:p>
      <w:r>
        <w:t>Conformément à l' art. 189 al. 1 CP (dans sa teneur jusqu'au 30 juin 2024),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 contrainte sexuelle suppose l'emploi d'un moyen de contrainte. S'agissant des moyens employés pour contraindre la victime, la disposition précitée mentionne notamment la menace et les pressions d'ordre psychique.</w:t>
      </w:r>
    </w:p>
    <w:p>
      <w:r>
        <w:t>Selon la jurisprudence, l'auteur profère des menaces lorsque, par ses paroles ou son comportement, il fait volontairement redouter à la victime la survenance d'un préjudice, à l'effet de l'amener à céder. La menace doit faire craindre un préjudice sérieux ( ATF 122 IV 97 consid. 2b; arrêt 6B_156/2024 du 23 septembre 2024). L'existence d'une menace dans un cas concret doit toujours être évaluée en fonction de l'ensemble des circonstances. Il ne faut pas se fonder uniquement sur des critères objectifs, mais prendre également en compte les points de vue de la victime dans le cadre de l'évaluation du moyen de contrainte ([relativer Massstab]; arrêt 6B_587/2017 du 16 octobre 2017 consid. 4.5.1; cf. également ULRICH WEDER, in StGB/JStG Kommentar, 21</w:t>
      </w:r>
    </w:p>
    <w:p>
      <w:r>
        <w:t>e éd. 2022, n</w:t>
      </w:r>
    </w:p>
    <w:p>
      <w:r>
        <w:t>o 10</w:t>
      </w:r>
    </w:p>
    <w:p>
      <w:r>
        <w:t>ad</w:t>
      </w:r>
    </w:p>
    <w:p>
      <w:r>
        <w:t>art. 189 CP ; PHILIPP MAIER, in Basler Kommentar, Strafrecht II, 4</w:t>
      </w:r>
    </w:p>
    <w:p>
      <w:r>
        <w:t>e éd. 2019, n</w:t>
      </w:r>
    </w:p>
    <w:p>
      <w:r>
        <w:t>o 27</w:t>
      </w:r>
    </w:p>
    <w:p>
      <w:r>
        <w:t>ad</w:t>
      </w:r>
    </w:p>
    <w:p>
      <w:r>
        <w:t>art. 189 CP ).</w:t>
      </w:r>
    </w:p>
    <w:p>
      <w:r>
        <w:t>Tout comportement conduisant à un acte sexuel ou à un acte d'ordre sexuel non souhaité ne saurait être qualifié de contrainte sexuelle, selon le droit applicable au moment des faits ( ATF 131 IV 167 consid. 3.1; arrêt 6B_156/2024 précité consid. 3.1.2). Certes, la loi n'exige pas que la victime soit totalement hors d'état de résister. La contrainte sexuelle reste toutefois un délit de violence, de sorte que les pressions d'ordre psychique visées par l' art. 189 CP (dans leur ancienne teneur) doit revêtir une intensité importante. L'effet produit sur la victime doit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 ATF 131 IV 167 consid. 3.1; arrêts 6B_156/2024 précité consid. 3.1.2; 6B_395/2021 du 11 mars 2022 consid. 3.2.2). L'interprétation de l' art. 189 al. 1 CP (dans sa teneur jusqu'au 30 juin 2024) doit notamment se référer à la question des possibilités raisonnables d'autoprotection de la victime ( ATF 131 IV 167 consid. 3.1; 128 IV 106 consid. 3b; arrêt 6B_1057/2021 du 3 mars 2022 consid. 2.1).</w:t>
      </w:r>
    </w:p>
    <w:p>
      <w:r>
        <w:t>Sur le plan subjectif, la contrainte sexuelle est une infraction intentionnelle. L'auteur doit savoir que la victime n'est pas consentante ou en accepter l'éventualité ( ATF 148 IV 234 consid. 3.4 et les arrêts cités).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et les arrêts cités).</w:t>
      </w:r>
    </w:p>
    <w:p>
      <w:r>
        <w:rPr>
          <w:b/>
        </w:rPr>
        <w:t>E. 1.3.2</w:t>
      </w:r>
    </w:p>
    <w:p>
      <w:r>
        <w:t>En l'espèce, le recourant a caressé, sur et sous ses vêtements l'intimée 1, au niveau du sexe, passant outre son refus et persistant alors qu'elle le repoussait (cf. arrêt attaqué, p. 34). C'est seulement lorsque cette dernière s'est déplacée en se couchant de l'autre côté de l'intimée 2 dans le lit que le recourant a mis un terme à ses agissements (cf. arrêt attaqué, p. 15). Comme l'a justement relevé la cour cantonale, si l'intimée 1 n'a pas opposé de résistance - au-delà de son injonction d'arrêter et sa tentative de se soustraire à ses agissements - c'est en raison du climat de violence et de menaces instauré par le recourant qui a fait usage à plusieurs reprises à la violence physique (coups) et verbale (menaces) à son encontre. À cet égard, il sied de relever que le recourant a admis avoir menacé l'intimée 1 de la planter avec tous les couteaux de boucher [qu'il] allait trouver, l'avoir insultée, l'avoir bousculée lors de disputes, l'avoir saisie aux poignets pour lui prendre son téléphone portable, lui avoir craché dessus, l'avoir saisie par les épaules et lui avoir interdit certaines activités (cf. arrêt attaqué, pp. 13-14).</w:t>
      </w:r>
    </w:p>
    <w:p>
      <w:r>
        <w:t>Pour le reste, lorsque le recourant affirme qu'il n'a jamais dissocié l'épisode du piment sur son sexe, de la soirée pendant laquelle se sont déroulés les faits litigieux, qu'il y a eu promiscuité, voire ambiguïté le soir en question ou que l'intimée 1 ne se trouvait pas dans une situation sans espoir propre à faire céder sa résistance, il se borne, dans une démarche appellatoire et, partant, irrecevable dans le recours en matière pénale, à opposer son appréciation des faits à celle opérée par la cour cantonale.</w:t>
      </w:r>
    </w:p>
    <w:p>
      <w:r>
        <w:t>C'est dès lors à raison que la cour cantonale a admis la réalisation de l'élément de contrainte et c'est sans violer le droit fédéral qu'elle a fait application de l' art. 189 CP . Le grief du recourant doit être rejeté dans la mesure où il est recevable.</w:t>
      </w:r>
    </w:p>
    <w:p>
      <w:r>
        <w:rPr>
          <w:b/>
        </w:rPr>
        <w:t>E. 2</w:t>
      </w:r>
    </w:p>
    <w:p>
      <w:r>
        <w:t>Le recourant invoque une violation de l' art. 51 CP par la cour cantonale qui n'aurait pas tenu compte des mesures de substitution prononcées à son encontre et n'aurait opéré aucune déduction sur la peine.</w:t>
      </w:r>
    </w:p>
    <w:p>
      <w:r>
        <w:rPr>
          <w:b/>
        </w:rPr>
        <w:t>E. 2.1</w:t>
      </w:r>
    </w:p>
    <w:p>
      <w:r>
        <w:t>Aux termes de l' art. 51 1</w:t>
      </w:r>
    </w:p>
    <w:p>
      <w:r>
        <w:t>ère phrase CP, le juge impute sur la peine la détention avant jugement subie par l'auteur dans le cadre de l'affaire qui vient d'être jugée ou d'une autre procédure. Selon la jurisprudence, les mesures de substitution doivent être imputées sur la peine à l'instar de la détention subie avant jugement.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 ATF 140 IV 74 consid. 2.4).</w:t>
      </w:r>
    </w:p>
    <w:p>
      <w:r>
        <w:t>Une imputation de quelques jours seulement est envisageable lorsque l'atteinte à la liberté personnelle est particulièrement faible (cf. sur ce point l'arrêt 6B_115/2018 du 30 avril 2018 consid. 6).</w:t>
      </w:r>
    </w:p>
    <w:p>
      <w:r>
        <w:rPr>
          <w:b/>
        </w:rPr>
        <w:t>E. 2.2</w:t>
      </w:r>
    </w:p>
    <w:p>
      <w:r>
        <w:t>En l'espèce, alors que des mesures de substitution ont été prononcées (P. 20 ss), la cour cantonale n'a pas examiné cet aspect. Le recours doit ainsi être admis sur ce point ( art. 112 al. 3 LTF ) et la cause renvoyée à la cour cantonale pour qu'elle statue sur une éventuelle imputation sur la peine privative de liberté.</w:t>
      </w:r>
    </w:p>
    <w:p>
      <w:r>
        <w:rPr>
          <w:b/>
        </w:rPr>
        <w:t>E. 3</w:t>
      </w:r>
    </w:p>
    <w:p>
      <w:r>
        <w:t>Le recours doit être partiellement admis (cf.</w:t>
      </w:r>
    </w:p>
    <w:p>
      <w:r>
        <w:t>supra consid. 2.2), l'arrêt querellé annulé et la cause renvoyée à la cour cantonale pour nouvelle décision dans le sens des considérants. Pour le surplus, le recours est rejeté dans la mesure où il est recevable.</w:t>
      </w:r>
    </w:p>
    <w:p>
      <w:r>
        <w:t>Le recourant a requis l'assistance judiciaire. Il peut prétendre à une indemnité de dépens réduite pour le grief admis ( art. 68 al. 1 LTF ), ce qui rend sa demande d'assistance judiciaire sans objet dans cette mesure. Le recours était pour le surplus dénué de chances de succès, de sorte que l'assistance judiciaire doit être refusée ( art. 64 al. 1 LTF ). Le recourant supportera des frais réduits eu égard à l'issue de la cause et à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