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439/2012 vom 2. Oktober 2012</w:t>
      </w:r>
    </w:p>
    <w:p>
      <w:r>
        <w:t>Bundesgericht, 2012-10-02, DE</w:t>
      </w:r>
    </w:p>
    <w:p>
      <w:r>
        <w:rPr>
          <w:b/>
        </w:rPr>
        <w:t xml:space="preserve">Quelle: </w:t>
      </w:r>
      <w:r>
        <w:t>https://mcp.opencaselaw.ch/entscheid/bger_6B_439_2012</w:t>
      </w:r>
    </w:p>
    <w:p>
      <w:r>
        <w:t>FR: TF 6B 439/2012 du 2 octobre 2012</w:t>
      </w:r>
    </w:p>
    <w:p>
      <w:r>
        <w:t>IT: TF 6B 439/2012 del 2 ottobre 2012</w:t>
      </w:r>
    </w:p>
    <w:p>
      <w:pPr>
        <w:pStyle w:val="Heading2"/>
      </w:pPr>
      <w:r>
        <w:t>Regeste</w:t>
      </w:r>
    </w:p>
    <w:p>
      <w:r>
        <w:t>Entschädigung der amtlichen Verteidigung | Strafrecht (allgemein)</w:t>
      </w:r>
    </w:p>
    <w:p>
      <w:pPr>
        <w:pStyle w:val="Heading2"/>
      </w:pPr>
      <w:r>
        <w:t>Erwägungen</w:t>
      </w:r>
    </w:p>
    <w:p>
      <w:r>
        <w:rPr>
          <w:b/>
        </w:rPr>
        <w:t>E. 1</w:t>
      </w:r>
    </w:p>
    <w:p>
      <w:r>
        <w:t>Die Vorinstanz erwägt, gemäss dem Ausgang des Beschwerdeverfahrens sei dem Beschwerdeführer eine Parteientschädigung auszurichten ( Art. 428 Abs. 1 StPO ). Da er nicht anwaltlich vertreten und der Anwaltstarif für das Handeln in eigenem Namen nicht anwendbar sei (§ 1 Abs. 1 AnwT), seien ihm ermessensweise pauschal Fr. 300.-- zu vergüten.</w:t>
      </w:r>
    </w:p>
    <w:p>
      <w:r>
        <w:rPr>
          <w:b/>
        </w:rPr>
        <w:t>E. 2</w:t>
      </w:r>
    </w:p>
    <w:p>
      <w:r>
        <w:t>Wie der Beschwerdeführer zu Recht beanstandet, handelte er nicht in eigenem Namen im Sinne von § 1 Abs. 1 AnwT/AG. Der um sein Honorar streitende amtliche Rechtsvertreter nimmt nicht bloss persönliche Interessen wahr, sondern vertritt seinen Anspruch auf eine Entschädigung für die Erfüllung einer beruflichen Aufgabe, die er im Rahmen eines öffentlichrechtlichen Auftragsverhältnisses verrichtet. Nach der Rechtsprechung des Bundesgerichts steht ihm für diese Interessenwahrung sowohl im bundesgerichtlichen ( BGE 125 II 518 ) als auch im kantonalen Beschwerdeverfahren (Entscheid 1P.599/1999 vom 19. Januar 2000, E. 3c), im Rahmen des erforderlichen Aufwandes und nach Massgabe seines Obsiegens, eine Parteientschädigung zu (Entscheid 6B_493/2007 vom 22. November 2007 E. 3). Eine Pauschalentschädigung von Fr. 300.-- ohne weitere Begründung genügt diesen Anforderungen offensichtlich nicht, da der Beschwerdeführer in seiner Kostennote einen Arbeitsaufwand von 4 Stunden 55 Minuten und Auslagen von Fr. 33.-- geltend machte (vgl. BGE 132 I 201 ). Das Bundesgericht ist nicht dazu berufen, Arbeitsaufwand, Stundenansatz und Auslagen in einem kantonalen Verfahren zu beurteilen. Der angefochtene Entscheid ist aufzuheben und die Sache zur neuen Beurteilung an die Vorinstanz zurückzuweisen.</w:t>
      </w:r>
    </w:p>
    <w:p>
      <w:r>
        <w:rPr>
          <w:b/>
        </w:rPr>
        <w:t>E. 3</w:t>
      </w:r>
    </w:p>
    <w:p>
      <w:r>
        <w:t>Es sind keine Gerichtskosten zu erheben ( Art. 66 Abs. 4 BGG ). Der Kanton Aargau hat den Beschwerdeführer angemessen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