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439/2009 vom 18. August 2009</w:t>
      </w:r>
    </w:p>
    <w:p>
      <w:r>
        <w:t>Bundesgericht, 2009-08-18, FR</w:t>
      </w:r>
    </w:p>
    <w:p>
      <w:r>
        <w:rPr>
          <w:b/>
        </w:rPr>
        <w:t xml:space="preserve">Quelle: </w:t>
      </w:r>
      <w:r>
        <w:t>https://mcp.opencaselaw.ch/entscheid/bger_6B_439_2009</w:t>
      </w:r>
    </w:p>
    <w:p>
      <w:r>
        <w:t>FR: TF 6B 439/2009 du 18 août 2009</w:t>
      </w:r>
    </w:p>
    <w:p>
      <w:r>
        <w:t>IT: TF 6B 439/2009 del 18 agosto 2009</w:t>
      </w:r>
    </w:p>
    <w:p>
      <w:pPr>
        <w:pStyle w:val="Heading2"/>
      </w:pPr>
      <w:r>
        <w:t>Regeste</w:t>
      </w:r>
    </w:p>
    <w:p>
      <w:r>
        <w:t>Homicide par négligence (art. 117 CP) | Infractions</w:t>
      </w:r>
    </w:p>
    <w:p>
      <w:pPr>
        <w:pStyle w:val="Heading2"/>
      </w:pPr>
      <w:r>
        <w:t>Erwägungen</w:t>
      </w:r>
    </w:p>
    <w:p>
      <w:r>
        <w:rPr>
          <w:b/>
        </w:rPr>
        <w:t>E. 1</w:t>
      </w:r>
    </w:p>
    <w:p>
      <w:r>
        <w:t>L' art. 117 CP réprime le comportement de celui qui, par négligence, aura causé la mort d'une personne. La réalisation de cette infraction suppose ainsi la réunion de trois conditions: le décès d'une personne, une négligence et un lien de causalité entre la négligence et la mort ( ATF 122 IV 145 consid. 3 p. 147). Seules prêtent à discussion en l'espèce la négligence et le rapport de causalité.</w:t>
      </w:r>
    </w:p>
    <w:p>
      <w:r>
        <w:rPr>
          <w:b/>
        </w:rPr>
        <w:t>E. 1.1</w:t>
      </w:r>
    </w:p>
    <w:p>
      <w:r>
        <w:t>Conformément à l'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En d'autres termes,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w:t>
      </w:r>
    </w:p>
    <w:p>
      <w:r>
        <w:rPr>
          <w:b/>
        </w:rPr>
        <w:t>E. 1.2</w:t>
      </w:r>
    </w:p>
    <w:p>
      <w:r>
        <w:t>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1.3</w:t>
      </w:r>
    </w:p>
    <w:p>
      <w:r>
        <w:t>En l'espèce, il a été imputé à la recourante de n'avoir pas adapté sa vitesse aux circonstances, qui commandaient, à dire d'expert, de ne pas rouler à une vitesse supérieure à 70 km/h, compte tenu d'une distance de perception de 40 mètres.</w:t>
      </w:r>
    </w:p>
    <w:p>
      <w:r>
        <w:rPr>
          <w:b/>
        </w:rPr>
        <w:t>E. 1.3.1</w:t>
      </w:r>
    </w:p>
    <w:p>
      <w:r>
        <w:t>La recourante ne remet en question ni la constatation selon laquelle sa distance de perception était de 40 mètres ni celle selon laquelle une vitesse supérieure à 70 km/h ne lui permettait pas de s'arrêter sur la distance visible. Ces éléments de fait lient en conséquence la cour de céans ( art. 105 al. 1 LTF ).</w:t>
      </w:r>
    </w:p>
    <w:p>
      <w:r>
        <w:rPr>
          <w:b/>
        </w:rPr>
        <w:t>E. 1.3.2</w:t>
      </w:r>
    </w:p>
    <w:p>
      <w:r>
        <w:t>Selon la jurisprudence, celui qui circule de nuit avec des feux de croisement doit adapter sa vitesse de manière à pouvoir s'arrêter sur la distance éclairée par le feu le plus court (v. ATF 126 IV 91 consid. 4a/cc p. 93; 100 IV 279 consid. 2b p. 282). Il s'ensuit que les autorités cantonales ont jugé à bon escient que la recourante avait enfreint la règle de l' art. 4 al. 1 OCR et qu'elle n'avait, partant, pas adapté sa vitesse aux circonstances au sens de l' art. 32 al. 1 LCR .</w:t>
      </w:r>
    </w:p>
    <w:p>
      <w:r>
        <w:rPr>
          <w:b/>
        </w:rPr>
        <w:t>E. 1.4</w:t>
      </w:r>
    </w:p>
    <w:p>
      <w:r>
        <w:t>La recourante, qui se prévaut du principe de la confiance, soutient qu'elle était fondée à conclure qu'aucun piéton raisonnable et diligent ne s'aventurerait à traverser la chaussée dans de telles conditions.</w:t>
      </w:r>
    </w:p>
    <w:p>
      <w:r>
        <w:rPr>
          <w:b/>
        </w:rPr>
        <w:t>E. 1.4.1</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 ATF 120 IV 252 consid. 2d/aa p. 254; 100 IV 186 consid. 3 p. 189).</w:t>
      </w:r>
    </w:p>
    <w:p>
      <w:r>
        <w:rPr>
          <w:b/>
        </w:rPr>
        <w:t>E. 1.4.2</w:t>
      </w:r>
    </w:p>
    <w:p>
      <w:r>
        <w:t>En l'espèce, la recourante ne s'étant pas comportée réglementairement, elle ne peut invoquer le principe de la confiance. Elle objecte certes que l'on se trouverait précisément, dans son cas, dans l'hypothèse visée par la dernière cautèle jurisprudentielle. On ne peut cependant la suivre dans ce raisonnement. Il lui a, en effet, été reproché de n'avoir pas adapté sa vitesse aux conditions de circulation, soit à la visibilité dont elle disposait. Il ne lui a, en revanche, pas été fait grief de n'avoir pas modéré son allure en raison de la présence ou du comportement des piétons, de la victime en particulier. Il s'ensuit que le moyen déduit de la violation de l' art. 26 al. 1 LCR est infondé.</w:t>
      </w:r>
    </w:p>
    <w:p>
      <w:r>
        <w:rPr>
          <w:b/>
        </w:rPr>
        <w:t>E. 1.4.3</w:t>
      </w:r>
    </w:p>
    <w:p>
      <w:r>
        <w:t>Pour le surplus, la règle de prudence en question constitue une règle élémentaire de la circulation routière, qu'aucun détenteur du permis de conduire ne peut ignorer. La décision entreprise ne constate aucune raison qui aurait pu empêcher la recourante de satisfaire à son devoir de prudence et l'intéressée ne tente pas de démontrer non plus l'existence d'une telle circonstance. La négligence est, partant, imputable à faute.</w:t>
      </w:r>
    </w:p>
    <w:p>
      <w:r>
        <w:rPr>
          <w:b/>
        </w:rPr>
        <w:t>E. 1.5</w:t>
      </w:r>
    </w:p>
    <w:p>
      <w:r>
        <w:t>Il convient ensuite d'examiner le rapport de causalité entre la négligence et le décès de la victime.</w:t>
      </w:r>
    </w:p>
    <w:p>
      <w:r>
        <w:rPr>
          <w:b/>
        </w:rPr>
        <w:t>E. 1.5.1</w:t>
      </w:r>
    </w:p>
    <w:p>
      <w:r>
        <w:t>L'arrêt entrepris constate dûment l'existence du rapport de causalité naturelle. Cette constatation de fait lie la cour de céans, la recourante ne soulevant aucun grief sur ce point ( art. 105 al. 1 LTF ). Seule demeure dès lors litigieuse la causalité adéquate.</w:t>
      </w:r>
    </w:p>
    <w:p>
      <w:r>
        <w:rPr>
          <w:b/>
        </w:rPr>
        <w:t>E. 1.5.2</w:t>
      </w:r>
    </w:p>
    <w:p>
      <w:r>
        <w:t>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 ATF 131 IV 145 consid. 5.1, p. 147/148 et les arrêts cités).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 147 s.).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131 IV 145 consid. 5.2 i.f., p. 148 et les arrêts cités; 122 IV 17 consid. 2c/bb p. 23).</w:t>
      </w:r>
    </w:p>
    <w:p>
      <w:r>
        <w:rPr>
          <w:b/>
        </w:rPr>
        <w:t>E. 1.5.3</w:t>
      </w:r>
    </w:p>
    <w:p>
      <w:r>
        <w:t>La règle de prudence selon laquelle l'automobiliste doit être en mesure d'arrêter son véhicule sur la distance visible, au plus ( art. 4 al. 1 OCR ), procède du constat que, la nuit, le risque, pour l'automobiliste, de rencontrer sur son chemin un obstacle non éclairé n'est pas si minime qu'il puisse en faire abstraction ( ATF 126 IV 91 consid. 4a/cc, p. 92 ss et les références citées). On peut en déduire, dans une appréciation objective, que le non-respect de cette règle de prudence, qui tend précisément à prévenir les conséquences de telles situations, est propre à entraîner une collision, respectivement des lésions corporelles ou le décès du piéton qui n'a pu être vu à temps. La causalité entre la négligence consistant à n'avoir pas respecté cette règle de prudence et le décès de la victime apparaît ainsi adéquate.</w:t>
      </w:r>
    </w:p>
    <w:p>
      <w:r>
        <w:rPr>
          <w:b/>
        </w:rPr>
        <w:t>E. 1.5.4</w:t>
      </w:r>
    </w:p>
    <w:p>
      <w:r>
        <w:t>La recourante soutient encore que le rapport de causalité adéquate aurait été interrompu par le comportement de la victime. Elle souligne, dans ce contexte, en se référant au rapport d'expertise, que la victime avait une visibilité étendue. Il serait ainsi probable, selon la recourante, que la victime avait aperçu les phares de la voiture, mais qu'elle aurait continué normalement son déplacement parce qu'elle aurait été persuadée d'être vue. La recourante relève également la proximité d'un passage sécurisé dont la victime n'a pas fait usage bien qu'elle en connût l'existence.</w:t>
      </w:r>
    </w:p>
    <w:p>
      <w:r>
        <w:rPr>
          <w:b/>
        </w:rPr>
        <w:t>E. 1.5.4.1</w:t>
      </w:r>
    </w:p>
    <w:p>
      <w:r>
        <w:t>La recourante s'écarte, sur les deux premiers points, de manière inadmissible de l'état de fait de la décision entreprise ( art. 105 al. 1 et 2 LTF ), de sorte qu'ainsi articulé le grief est irrecevable.</w:t>
      </w:r>
    </w:p>
    <w:p>
      <w:r>
        <w:rPr>
          <w:b/>
        </w:rPr>
        <w:t>E. 1.5.4.2</w:t>
      </w:r>
    </w:p>
    <w:p>
      <w:r>
        <w:t>Par ailleurs, on ne saurait reprocher à la cour cantonale d'avoir considéré que le seul fait que la piétonne n'a pas fait usage du passage sécurisé soit de nature à interrompre le rapport de causalité, dès lors que la règle de prudence dont la violation a été reprochée à la recourante doit précisément permettre de réagir à la présence inattendue d'une personne ou d'un objet sur la chaussée.</w:t>
      </w:r>
    </w:p>
    <w:p>
      <w:r>
        <w:rPr>
          <w:b/>
        </w:rPr>
        <w:t>E. 1.5.4.3</w:t>
      </w:r>
    </w:p>
    <w:p>
      <w:r>
        <w:t>En définitive, le comportement de la victime ne pourrait apparaître comme interruptif du rapport de causalité que dans la mesure où il serait établi que la piétonne, invisible jusque-là pour la recourante même si elle avait fait preuve de toute l'attention nécessaire, serait apparue brusquement dans le champ de vision de l'automobiliste à un moment où la conductrice n'aurait plus été en mesure de réagir efficacement, même en roulant à la vitesse adaptée aux circonstances retenue en l'espèce. Or, l'arrêt entrepris ne constate rien de tel et la recourante ne tente pas de démontrer qu'il présenterait des lacunes sur ce point. On peut, au demeurant, relever, à cet égard, que la victime, au moment d'entreprendre la traversée de la route, venait du restaurant de la Plage. Une lampe publique, dont la luminosité s'étend au plus jusqu'au milieu de l'artère, est précisément située au débouché de l'accès de cet établissement (v. supra consid. A.a). Cela étant, la victime s'est trouvée éclairée durant toute la traversée de la première voie de circulation. On peut en déduire qu'elle a été visible durant ce laps de temps de plusieurs secondes (compte tenu de la largeur de la route de plus de 12 mètres), ce qui exclut l'hypothèse en question. Aucun élément de fait de la décision entreprise ne permet dès lors d'imputer au comportement de la victime d'être la cause unique ou tout au moins la plus probable et immédiate de l'accident. La recourante ne peut rien déduire non plus en sa faveur de l'arrêt 6S.287/2004 du 24 septembre 2004, auquel elle se réfère. Dans ce cas, la causalité a, en effet, été considérée comme interrompue parce que le piéton, qui cheminait sur la gauche de la route dans le sens de marche de l'automobile, dont la vitesse n'a pas été jugée inadaptée, avait soudainement traversé la route au moment où survenait la voiture, qui, simultanément, avait entrepris une manoeuvre d'évitement en raison de la présence d'autres piétons sur sa droite (arrêt précité, consid. 2.3). Les circonstances de ce cas diffèrent ainsi sensiblement de celles réalisées en l'espèce. Le grief est infondé, dans la mesure où il est recevable.</w:t>
      </w:r>
    </w:p>
    <w:p>
      <w:r>
        <w:rPr>
          <w:b/>
        </w:rPr>
        <w:t>E. 2</w:t>
      </w:r>
    </w:p>
    <w:p>
      <w:r>
        <w:t>La recourante succombe. Elle supporte les frais de la procédure ( art. 66 al. 1 LTF ). Il n'y a pas lieu d'allouer des dépens, les intimés n'ayant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