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6B_438/2025 vom 23. Juni 2025</w:t>
      </w:r>
    </w:p>
    <w:p>
      <w:r>
        <w:t>Bundesgericht, 2025-06-23, FR</w:t>
      </w:r>
    </w:p>
    <w:p>
      <w:r>
        <w:rPr>
          <w:b/>
        </w:rPr>
        <w:t xml:space="preserve">Quelle: </w:t>
      </w:r>
      <w:r>
        <w:t>https://mcp.opencaselaw.ch/entscheid/bger_6B_438_2025</w:t>
      </w:r>
    </w:p>
    <w:p>
      <w:r>
        <w:t>FR: TF 6B_438/2025 du 23 juin 2025</w:t>
      </w:r>
    </w:p>
    <w:p>
      <w:r>
        <w:t>IT: TF 6B_438/2025 del 23 giugno 2025</w:t>
      </w:r>
    </w:p>
    <w:p>
      <w:pPr>
        <w:pStyle w:val="Heading2"/>
      </w:pPr>
      <w:r>
        <w:t>Erwägungen</w:t>
      </w:r>
    </w:p>
    <w:p>
      <w:r>
        <w:rPr>
          <w:b/>
        </w:rPr>
        <w:t>E. 1</w:t>
      </w:r>
    </w:p>
    <w:p>
      <w:r>
        <w:t>Par arrêt du 5 mai 2025, la Chambre pénale d'appel et de révision de la Cour de justice genevoise a déclaré irrecevable l'appel formé par A.________ contre le jugement rendu le 24 mars 2025 par lequel le Tribunal de police de la République et canton de Genève a reconnu le prénommé coupable de violation simple des règles de la circulation routière et de violation des obligations en cas d'accident, et l'a condamné à une amende de 2'060 fr. ainsi qu'au paiement des frais de la procédure.</w:t>
      </w:r>
    </w:p>
    <w:p>
      <w:r>
        <w:t>En bref, la cour cantonale a retenu que le dispositif dudit jugement avait été remis à A.________ au terme des débats de première instance, le 24 mars 2025, de sorte que le délai pour annoncer appel arrivait à échéance le 3 avril 2025. En déposant son acte d'appel le 7 avril 2025, le précité n'avait pas respecté le délai légal de dix jours. Son appel était dès lors irrecevable.</w:t>
      </w:r>
    </w:p>
    <w:p>
      <w:r>
        <w:rPr>
          <w:b/>
        </w:rPr>
        <w:t>E. 2</w:t>
      </w:r>
    </w:p>
    <w:p>
      <w:r>
        <w:t>A.________ forme un recours en matière pénale au Tribunal fédéral contre l'arrêt du 5 mai 2025. Bien que le prénommé ne formule pas de conclusion, l'on comprend de ses brèves écritures qu'il demande, en substance, "</w:t>
      </w:r>
    </w:p>
    <w:p>
      <w:r>
        <w:t>à pouvoir faire appel " du jugement du 24 mars 2025.</w:t>
      </w:r>
    </w:p>
    <w:p>
      <w:r>
        <w:rPr>
          <w:b/>
        </w:rPr>
        <w:t>E. 3</w:t>
      </w:r>
    </w:p>
    <w:p>
      <w:r>
        <w:t>L'attention de A.________ a été attirée, par courrier du 16 mai 2025, sur les exigences minimales de forme auxquelles est soumis un recours en matière pénale au Tribunal fédéral, et il a été invité à considérer la possibilité de compléter son écriture, le délai de recours n'étant pas encore échu, ce qu'il a fait par courrier du 23 mai 2025.</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t>En l'espèce, le recourant se limite, dans ses écritures, à critiquer la manière dont l'audience de première instance s'est déroulée, à affirmer que ses droits auraient été, à cette occasion, "</w:t>
      </w:r>
    </w:p>
    <w:p>
      <w:r>
        <w:t>bafoués " et violés de la pire des manières, et à revenir sur les faits ayant conduit à sa condamnation pour violation simple des règles de la circulation routière et violation des obligations en cas d'accident. Ce faisant, le recourant ne s'en prend pas aux motifs de l'arrêt entrepris et n'expose ainsi pas en quoi la cour cantonale aurait violé le droit fédéral en déclarant l'appel de l'intéressé irrecevable pour cause de tardiveté.</w:t>
      </w:r>
    </w:p>
    <w:p>
      <w:r>
        <w:t>Pour le surplus, il allègue, dans une argumentation purement appellatoire et, partant, irrecevable, ne pas avoir reçu le jugement de première instance, alors qu'il ressort des faits retenus par l'arrêt entrepris que le dispositif écrit du jugement avait été notifié à l'intéressé séance tenante, comme l'attestait sa signature sur celui-là, les voies de recours y étant indiquées. Il en va de même lorsque le recourant affirme avoir annoncé appel au terme de l'audience de première instance, ce qui ne ressort ni des faits retenus par la cour cantonale ni du procès-verbal de dite audience, pourtant signé par l'intéressé.</w:t>
      </w:r>
    </w:p>
    <w:p>
      <w:r>
        <w:t>Faute de développer une argumentation topique répondant aux exigences de motivation d'un recours en matière pénale (art. 42 al. 2 et 106 al. 2 LTF), le recours est irrecevable.</w:t>
      </w:r>
    </w:p>
    <w:p>
      <w:r>
        <w:rPr>
          <w:b/>
        </w:rPr>
        <w:t>E. 5</w:t>
      </w:r>
    </w:p>
    <w:p>
      <w:r>
        <w:t>L'irrecevabilité du recours est manifeste, ce qu'il convient de constater dans la procédure prévue par l' art. 108 al. 1 let. b LTF . Le recourant, qui succombe, supportera les frais judiciaires dont le montant sera arrêté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