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438/2019 vom 28. Mai 2019</w:t>
      </w:r>
    </w:p>
    <w:p>
      <w:r>
        <w:t>Bundesgericht, 2019-05-28, FR</w:t>
      </w:r>
    </w:p>
    <w:p>
      <w:r>
        <w:rPr>
          <w:b/>
        </w:rPr>
        <w:t xml:space="preserve">Quelle: </w:t>
      </w:r>
      <w:r>
        <w:t>https://mcp.opencaselaw.ch/entscheid/bger_6B_438_2019</w:t>
      </w:r>
    </w:p>
    <w:p>
      <w:r>
        <w:t>FR: TF 6B 438/2019 du 28 mai 2019</w:t>
      </w:r>
    </w:p>
    <w:p>
      <w:r>
        <w:t>IT: TF 6B 438/2019 del 28 maggio 2019</w:t>
      </w:r>
    </w:p>
    <w:p>
      <w:pPr>
        <w:pStyle w:val="Heading2"/>
      </w:pPr>
      <w:r>
        <w:t>Regeste</w:t>
      </w:r>
    </w:p>
    <w:p>
      <w:r>
        <w:t>Diminution d'effective de l'actif au préjudice des créanciers, gestion déloyale aggravée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En l'espèce, la recourante conclut uniquement à l'annulation de l'arrêt attaqué et au renvoi de la cause à l'autorité précédente pour nouvelle décision. Une telle manière de faire n'est pas admissible. Les motifs du recours permettent cependant de comprendre que la recourante souhaite se voir acquittée tant du chef de prévention de diminution effective de l'actif au préjudice des créanciers ( art. 164 ch. 1 CP ) que de celui de gestion déloyale aggravée ( art. 158 ch. 1 al. 3 CP ). Cela suffit pour satisfaire aux exigences de forme déduites de l' art. 42 al. 1 et 2 LTF (cf. arrêt 6B_111/2015 précité consid. 1.7; ATF 137 II 313 consid. 1.3 p. 317).</w:t>
      </w:r>
    </w:p>
    <w:p>
      <w:r>
        <w:rPr>
          <w:b/>
        </w:rPr>
        <w:t>E. 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et les références citées). Les critiques de nature appellatoire sont irrecevables ( ATF 142 III 364 consid. 2.4 p. 368 et les références citées).</w:t>
      </w:r>
    </w:p>
    <w:p>
      <w:r>
        <w:rPr>
          <w:b/>
        </w:rPr>
        <w:t>E. 3</w:t>
      </w:r>
    </w:p>
    <w:p>
      <w:r>
        <w:t>La recourante conteste s'être rendue coupable de l'infraction de diminution effective de l'actif au préjudice des créanciers ( art. 164 CP ).</w:t>
      </w:r>
    </w:p>
    <w:p>
      <w:r>
        <w:rPr>
          <w:b/>
        </w:rPr>
        <w:t>E. 3.1</w:t>
      </w:r>
    </w:p>
    <w:p>
      <w:r>
        <w:t>L' art. 164 ch. 1 CP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 art. 164 ch. 1 CP n'est applicable que si le débiteur a été déclaré en faillite ou si un acte de défaut de biens a été dressé contre lui. L'énumération de l' art. 164 ch. 1 CP est exhaustive ( ATF 131 IV 49 consid. 1.2 p. 51 s.; arrêt 6B_979/2017 du 29 mars 2018 consid. 4.1). Seules sont constitutives de l'infraction définie à l' art. 164 ch. 1 al. 3 CP les cessions faites à titre gratuit ou contre une prestation manifestement inférieure. Le législateur s'est à cet égard directement inspiré des principes de l'action en révocation d'actes à titre gratuit de l' art. 286 LP ( ATF 131 IV 49 consid. 1.3.3 p. 54). Il faut ainsi en déduire qu'à l'exception des cadeaux usuels, toutes les libéralités, quel qu'en soit le destinataire, tombent sous le coup de l' art. 164 ch. 1 CP (BERNARD CORBOZ, Les infractions en droit suisse, vol. I, 3 e éd., 2010, n° 13 ad art. 164 CP ). Cela étant, si l'organe de la société débitrice paie, à l'aide des actifs de la société, la dette que cette dernière avait à l'égard d'un tiers, il n'y a pas de diminution effective de l'actif puisque cette diminution est compensée par une diminution du passif ( ATF 131 IV 49 consid. 1.3.1 p. 53). L' art. 164 CP constitue une infraction de mise en danger concrète (TRECHSEL/OGG, Schweizerisches Strafgesetzbuch, Praxiskommentar, 3 e éd., 2018, n° 1 ad art. 164 CP ; NADINE HAGENSTEIN, Basler Kommentar, Strafrecht II, 4 e éd., 2018, n° 3 ad art. 164 CP ; BERNARD CORBOZ, op. cit., n° 24 ad art. 164 CP ).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(arrêt 6B_396/2014 du 28 octobre 2015 consid. 3.1). L'infraction est intentionnelle; le dol éventuel suffit. Outre l'intention générale, l' art. 164 CP exige une intention spéciale: l'auteur doit avoir l'intention de causer un dommage à son ou ses créanciers (BERNARD CORBOZ, op. cit., n° 24 ad art. 164 CP ).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 6B_979/2017 précité consid. 4.1). L' art. 164 ch. 1 CP réprime un délit propre, qui ne peut être commis que par le débiteur. Lorsque cette qualité échoit à une personne morale, les personnes physiques qui en sont organes sont, en vertu de l' art. 29 CP , punissables en tant qu'auteurs, si elles ont agi ès qualités pour cette dernière ( ATF 131 IV 49 consid. 1.3.1 p. 53; arrêts 6B_1024/2016 du 17 novembre 2017 consid. 2.2; 6B_915/2015 du 2 juin 2016 consid. 2.2.3).</w:t>
      </w:r>
    </w:p>
    <w:p>
      <w:r>
        <w:rPr>
          <w:b/>
        </w:rPr>
        <w:t>E. 3.2</w:t>
      </w:r>
    </w:p>
    <w:p>
      <w:r>
        <w:t>La recourante reproche à la cour cantonale de ne pas avoir tenu compte du fait qu'elle dispose, selon l'état de collocation produit au dossier (cf. dossier cantonal, P. 238/7), de créances pour plus de 80'000 fr. à l'égard de la société faillie, dont elle entend déduire les honoraires litigieux, de sorte que la diminution de l'actif consécutive à l'encaissement de ces honoraires sur le compte C.________ serait compensée par une diminution correspondante du passif. Si la recourante a certes fait valoir des créances propres, pour partie contestées, dans l'état de collocation établi dans le cadre de la faillite, il ressort toutefois du jugement entrepris que ces créances ont été produites sans que les honoraires encaissés sur le compte C.________ n'en fussent déduits, la recourante persistant à contester devoir rembourser ces honoraires à la masse en faillite (cf. jugement entrepris, consid. 4.3 p. 15). A cet égard, le seul témoignage de D.________, comptable de la société, ne saurait attester d'une volonté de la recourante de compenser, dès 2011, ses créances propres à l'égard de la société avec les encaissements litigieux. Il ne ressort rien de plus en ce sens du courrier de la recourante du 27 mai 2011 à l'Office des faillites (cf. dossier cantonal, P. 195/7) par lequel elle détaille les créances qu'elle fait valoir à l'égard de la société, la compensation invoquée dans ce cadre pour " tous montants redus à la société " ne visant pas les honoraires encaissés sur le compte C.________, mais une créance relative à des prétentions émises par la Banque E.________ à son égard en qualité de caution solidaire d'un prêt octroyé à la société faillie (cf. dossier cantonal, P. 243/2/4). Il apparaît bien plutôt qu'un éventuel remboursement des honoraires par compensation n'a au final été envisagé qu'en février 2018 par la recourante, cela uniquement dans l'optique de lui éviter une condamnation pénale (cf. jugement entrepris, consid. 4.3 p. 15; dossier cantonal, P. 238/9). Cela étant, dès lors que les honoraires litigieux n'avaient pas été encaissés par la recourante en vue de solder d'éventuelles créances dont elle disposait à l'égard de la société, il n'apparaît pas que les faits reprochés à la recourante avaient engendré, outre une diminution de l'actif de la société débitrice, une diminution correspondante du passif. Ainsi, alors qu'un avis de surendettement avait été adressé au juge (cf. art. 725 al. 2 CO ), les encaissements en cause étaient de nature à provoquer une perte pour les créanciers de la société. Dès lors que l'infraction est déjà réprimée en cas de mise en danger des intérêts des créanciers et qu'il n'est donc pas nécessaire que ceux-ci subissent effectivement une perte, peu importe dans ce contexte que la recourante accepte au final, par hypothèse, de déduire les actifs détournés de ses propres créances admises à l'état de collocation. On en déduit que les éléments constitutifs objectifs de l'infraction réprimée à l' art. 164 ch. 1 CP sont réunis.</w:t>
      </w:r>
    </w:p>
    <w:p>
      <w:r>
        <w:rPr>
          <w:b/>
        </w:rPr>
        <w:t>E. 3.3</w:t>
      </w:r>
    </w:p>
    <w:p>
      <w:r>
        <w:t>La recourante conteste en outre avoir agi intentionnellement. Se prévalant de deux correspondances établies par l'Office des faillites (cf. dossier cantonal, P. 176 et 199), elle prétend avoir bénéficié de l'accord de ce dernier qui l'avait autorisée à exercer une activité indépendante dès le 1 er janvier 2011 et à envoyer à ses patients des factures à son nom propre. Ce faisant, la recourante se borne toutefois, dans une démarche appellatoire et partant irrecevable dans le recours en matière pénale, à opposer sa propre appréciation des preuves à celle de la cour cantonale, qui a considéré que les échanges entre la recourante et l'administration de la masse en faillite, représentée par l'Office des faillites, et en particulier le courrier adressé par ce dernier le 1 er mars 2011 au conseil de l'époux de la recourante, ne prouvaient nullement que l'administration de la masse en faillite avait su qu'elle avait encaissé des honoraires qui devaient revenir à la société. On pouvait tout au plus en déduire que l'Office des faillites connaissait l'existence du compte C.________ ouvert par la recourante, mais qu'il ignorait que celui-ci avait servi à encaisser des honoraires qui devaient revenir à la société et non à la recourante personnellement (cf. jugement entrepris, consid. 4.3 p. 14 s.). Par ailleurs, la cour cantonale a retenu que la recourante n'ignorait pas que le patrimoine de la société était distinct du sien et que ce n'était pas par inadvertance qu'elle avait invité les patients du cabinet à payer les honoraires dus sur le compte C.________, dont l'intitulé était quasiment identique à celui de la société (cf. jugement entrepris, consid. 4.3 p. 16). Or, la recourante ne prétend pas que ces constatations seraient empreintes d'arbitraire. Enfin, on comprend qu'aux yeux de la cour cantonale, dès lors que la recourante avait déposé un avis urgent de surendettement et qu'elle savait la faillite imminente, elle ne pouvait pas non plus ignorer que les encaissements des honoraires de la société sur le compte C.________ étaient susceptibles de causer un dommage aux autres créanciers de la société. Pour le surplus, contrairement à ce que soutient la recourante, il n'apparaît pas que la cour cantonale a tenu compte d'un éventuel blocage des comptes de la société au moment d'examiner les éléments subjectifs de l'infraction. On déduit de ce qui précède que la recourante a, à tout le moins, agi par dol éventuel, de sorte que l'infraction est réalisée sur le plan subjectif.</w:t>
      </w:r>
    </w:p>
    <w:p>
      <w:r>
        <w:rPr>
          <w:b/>
        </w:rPr>
        <w:t>E. 3.4</w:t>
      </w:r>
    </w:p>
    <w:p>
      <w:r>
        <w:t>Il s'ensuit que la condamnation de la recourante pour diminution effective de l'actif au préjudice des créanciers ( art. 164 ch. 1 CP ) ne viole pas le droit fédéral.</w:t>
      </w:r>
    </w:p>
    <w:p>
      <w:r>
        <w:rPr>
          <w:b/>
        </w:rPr>
        <w:t>E. 4</w:t>
      </w:r>
    </w:p>
    <w:p>
      <w:r>
        <w:t>La recourante conteste également sa condamnation pour gestion déloyale aggravée ( art. 158 ch. 1 al. 3 CP ).</w:t>
      </w:r>
    </w:p>
    <w:p>
      <w:r>
        <w:rPr>
          <w:b/>
        </w:rPr>
        <w:t>E. 4.1</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cas de la gestion déloyale aggravée est réalisé lorsque l'auteur a agi dans le dessein de se procurer ou de procurer à un tiers un enrichissement illégitime (ch. 1 al. 3).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6B_1030/2018 du 20 novembre 2018 consid. 1.1; 6B_382/2017 du 2 février 2018 consid. 3.1). L'infraction n'est consommée que s'il y a eu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129 IV 124 consid. 3.1 p. 125 s.). Un préjudice temporaire suffit ( ATF 121 IV 104 consid. 2c p. 108; arrêt 6B_382/2017 du 2 février 2018 consid. 3.1).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arrêts 6B_959/2017 du 29 mars 2017 consid. 3.5; 6B_787/2016 du 2 mai 2017 consid. 2.5). Dans sa forme aggravée, il faut encore que l'auteur ait agi dans un dessein d'enrichissement illégitime (cf. arrêt 6B_663/2014 du 22 décembre 2017 consid. 6.4).</w:t>
      </w:r>
    </w:p>
    <w:p>
      <w:r>
        <w:rPr>
          <w:b/>
        </w:rPr>
        <w:t>E. 4.2</w:t>
      </w:r>
    </w:p>
    <w:p>
      <w:r>
        <w:t>La recourante n'objecte pas que, pour la période antérieure à la faillite, elle revêtait la qualité d'administratrice de la société B.________ SA, de sorte qu'elle devait s'occuper de la gestion de celle-ci avec toute la diligence nécessaire et veiller fidèlement à ses intérêts (cf. art. 717 al. 1 CO ). Elle ne conteste pas non plus qu'en encaissant une partie des honoraires dus à la société sur le compte C.________ nouvellement créé à son nom propre, elle a détourné les actifs de la société, violant ainsi ses devoirs de gestion et causant un préjudice à cette dernière, à concurrence d'un montant de 11'497 fr. 65. Peu importe à cet égard que la recourante se serait engagée à restituer le montant en cause à la masse en faillite, un préjudice temporaire étant suffisant. Les éléments constitutifs objectifs de l'infraction réprimée à l' art. 158 ch. 1 CP sont dès lors réunis.</w:t>
      </w:r>
    </w:p>
    <w:p>
      <w:r>
        <w:rPr>
          <w:b/>
        </w:rPr>
        <w:t>E. 4.3</w:t>
      </w:r>
    </w:p>
    <w:p>
      <w:r>
        <w:t>La recourante revient sur les aspects subjectifs de l'infraction, contestant avoir agi intentionnellement et dans un dessein d'enrichissement illégitime. S'agissant du caractère intentionnel de l'infraction, la cour cantonale a retenu que, si la recourante n'avait certes pas agi dans le but final de nuire à la société, elle avait néanmoins accepté les conséquences de ses actes, lesquels ne relevaient pas d'une erreur ou d'une inadvertance, mais d'un comportement délibéré. En tant que la recourante s'oppose à cette appréciation en faisant valoir qu'elle avait été autorisée par l'Office des faillites à agir de la sorte, il est renvoyé à cet égard à ce qui a été relevé ci-dessus s'agissant de l'infraction réprimée à l' art. 164 ch. 1 CP (cf. consid. 3.3 supra). Cela étant, la cour cantonale pouvait retenir sans violer le droit fédéral que les circonstances décrites caractérisaient une commission par dol éventuel. La cour cantonale a en outre retenu que la recourante avait agi dans un dessein d'enrichissement illégitime, les détournements opérés ayant été effectués délibérément en sa faveur sur un compte qu'elle venait d'ouvrir à cette fin. Cette appréciation ne prête pas le flanc à la critique, la recourante ne pouvant pas se prévaloir à cet égard d'une volonté de compenser, pour les motifs exposés ci-dessus (cf. consid. 3.2 supra). L'infraction est partant réalisée sur le plan subjectif.</w:t>
      </w:r>
    </w:p>
    <w:p>
      <w:r>
        <w:rPr>
          <w:b/>
        </w:rPr>
        <w:t>E. 4.4</w:t>
      </w:r>
    </w:p>
    <w:p>
      <w:r>
        <w:t>En définitive, la condamnation de la recourante pour gestion déloyale aggravée ne viole pas le droit fédéral.</w:t>
      </w:r>
    </w:p>
    <w:p>
      <w:r>
        <w:rPr>
          <w:b/>
        </w:rPr>
        <w:t>E. 5</w:t>
      </w:r>
    </w:p>
    <w:p>
      <w:r>
        <w:t>Pour le surplus, la recourante ne formule aucune critique quant au mode de fixation de la peine.</w:t>
      </w:r>
    </w:p>
    <w:p>
      <w:r>
        <w:rPr>
          <w:b/>
        </w:rPr>
        <w:t>E. 6</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