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437/2022 vom 23. August 2023</w:t>
      </w:r>
    </w:p>
    <w:p>
      <w:r>
        <w:t>Bundesgericht, 2023-08-23, FR</w:t>
      </w:r>
    </w:p>
    <w:p>
      <w:r>
        <w:rPr>
          <w:b/>
        </w:rPr>
        <w:t xml:space="preserve">Quelle: </w:t>
      </w:r>
      <w:r>
        <w:t>https://mcp.opencaselaw.ch/entscheid/bger_6B_437_2022</w:t>
      </w:r>
    </w:p>
    <w:p>
      <w:r>
        <w:t>FR: TF 6B 437/2022 du 23 août 2023</w:t>
      </w:r>
    </w:p>
    <w:p>
      <w:r>
        <w:t>IT: TF 6B 437/2022 del 23 agosto 2023</w:t>
      </w:r>
    </w:p>
    <w:p>
      <w:pPr>
        <w:pStyle w:val="Heading2"/>
      </w:pPr>
      <w:r>
        <w:t>Regeste</w:t>
      </w:r>
    </w:p>
    <w:p>
      <w:r>
        <w:t>Opposition à une ordonnance pénale (violation de domicile, etc.) ; frais | Procédure pénale</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d'ordonner la jonction avec les causes dirigées contre un autre arrêt rendu le 7 décembre 2021 (n° 1114) par la Chambre des recours pénale du Tribunal cantonal vaudois.</w:t>
      </w:r>
    </w:p>
    <w:p>
      <w:r>
        <w:rPr>
          <w:b/>
        </w:rPr>
        <w:t>E. 2</w:t>
      </w:r>
    </w:p>
    <w:p>
      <w:r>
        <w:t>Le Tribunal fédéral examine d'office et librement la recevabilité des recours qui lui sont soumis ( ATF 149 IV 9 consid. 2; ATF 146 IV 185 consid. 2 p. 188).</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l'espèce, dès lors que l'arrêt attaqué met à sa charge les frais de la cause devant l'autorité précédente, la recourante n° 1 a qualité pour recourir. S'agissant du recourant n° 2, ce dernier revêt la qualité de prévenu (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l'avocate prétendant le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se plaignent tour à tour de l'établissement des faits, exposent invoquer principalement la nullité de l'ordonnance pénale du 1 er avril 2021 et, s'agissant de la recevabilité du recours cantonal, invoquent notamment une violation des art. 393 ss CPP , du droit d'accès au juge et de la prohibition du formalisme excessif, tout en mentionnant, en lien avec ce qui précède, le principe de non-incrimination.</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 e éd. 2019, n° 3 ad art. 110 CPP ), à l'instar, du reste, de l' art. 354 al. 1 CPP , s'agissant de l'opposition ( ATF 142 IV 299 consid. 1.1). Conformément à l' art. 110 al. 1 2 e phrase CPP, l'acte pour lequel la forme écrite est exigée doit être daté et signé ( ibid. ; cf. aussi ATF 145 IV 190 consid. 1.3.2). Selon la jurisprudence constante, la signature doit être apposée de manière manuscrite, par la partie concernée, sur le document écrit en cause ( ATF 142 IV 299 consid. 1.1). 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 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la procuration censée établir les pouvoirs de la recourante n° 1 ne comporte aucun nom ni aucune signature mais une désignation calquée sur celle de l'ordonnance pénale du 1er avril 2021, à savoir "B.________". Force est donc de constater que cette dernière n'est pas formellement conforme aux exigences précitées. Les particularités de la cause commandent quoi qu'il en soit d'examiner plus avant différents griefs que les recourants soulèvent en rapport avec ce qui précède.</w:t>
      </w:r>
    </w:p>
    <w:p>
      <w:r>
        <w:rPr>
          <w:b/>
        </w:rPr>
        <w:t>E. 5.1</w:t>
      </w:r>
    </w:p>
    <w:p>
      <w:r>
        <w:t>En lien avec le grief tiré d'une violation du principe de non-incrimination, il sied de rappeler que conformément à l' art. 113 al. 1 CPP , le prévenu n'a pas l'obligation de déposer contre lui-même (1re phrase). Il a notamment le droit de refuser de déposer et de refuser de collaborer à la procédure (2e phrase). Il est toutefois tenu de se soumettre aux mesures de contrainte prévues par la loi (3e phrase). Dans son arrêt rendu le 27 septembre 2022, publié aux ATF 149 IV 9 , la cour de céans a rappelé les fondements et la portée du principe de non-incrimination (" 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qu'au regard de ce qui précède, les recourants ne peuvent rien tirer d'une prétendue violation du droit de garder le silence et de refuser de collaborer. Sous cet angle, leurs griefs s'avèrent mal fondés et doivent être rejetés.</w:t>
      </w:r>
    </w:p>
    <w:p>
      <w:r>
        <w:rPr>
          <w:b/>
        </w:rPr>
        <w:t>E. 6.1</w:t>
      </w:r>
    </w:p>
    <w:p>
      <w:r>
        <w:t>En tant que les recourants se prévalent de la nullité de l'ordonnance pénale du 1 er avril 2021, il convient également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 ibid. ).</w:t>
      </w:r>
    </w:p>
    <w:p>
      <w:r>
        <w:rPr>
          <w:b/>
        </w:rPr>
        <w:t>E. 6.2</w:t>
      </w:r>
    </w:p>
    <w:p>
      <w:r>
        <w:t>Au vu de ce qui précède, il sied de constater que la solution retenue pour désigner le recourant n° 2, à savoir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7.1</w:t>
      </w:r>
    </w:p>
    <w:p>
      <w:r>
        <w:t>En ce qui concerne enfin les griefs relatifs à une violation du droit d'accès au juge et de la prohibition du formalisme excessif, on rappellera qu'à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Là encore, il y a lieu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 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2 est à l'origine des difficultés procédurales auxquelles il a été confronté en raison de son refus de décliner son identité. Son attitude aurait été susceptible d'avoir un effet sur les frais de la cause mais ne saurait, in fine , le priver de tout accès au juge. L'équité de la procédure en a été, quoi qu'il en soit, affectée. Il faut dès lors admettre que les griefs tirés d'une violation de la prohibition du formalisme excessif et de la garantie d'accès au juge s'avèrent fondés. 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de la recourante n° 1, sans qu'il y ait lieu d'examiner plus avant les griefs que cette dernière soulève spécifiquement à cet égard.</w:t>
      </w:r>
    </w:p>
    <w:p>
      <w:r>
        <w:rPr>
          <w:b/>
        </w:rPr>
        <w:t>E. 8</w:t>
      </w:r>
    </w:p>
    <w:p>
      <w:r>
        <w:t>Au vu de ce qui précède, les recours doivent être partiellement admis et la cause renvoyée devant l'autorité précédente pour nouvelle décision dans le sens des considérants. 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 Les recourants, qui n'obtiennent que partiellement gain de cause, doivent supporter une partie des frais judiciaires (art. 65 al. 2 et 66 al. 1 LTF). Dès lors qu'ils se sont spontanément déterminés sur cette question en lien avec l'arrêt rendu le 27 septembre 2022 par la cour de céans ( ATF 149 IV 9 ), il n'y a pas lieu de leur impartir un délai pour pour compléter leurs observations. La mise des frais partiels à charge de la partie dans la mesure où elle a succombé correspond à la pratique (cf. GRÉGORY BOVEY, Commentaire LTF, 3e éd. 2022, n° 5 ad art. 66 LTF ). Les recourants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