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6B_437/2014 vom 29. Dezember 2014</w:t>
      </w:r>
    </w:p>
    <w:p>
      <w:r>
        <w:t>Bundesgericht, 2014-12-29, FR</w:t>
      </w:r>
    </w:p>
    <w:p>
      <w:r>
        <w:rPr>
          <w:b/>
        </w:rPr>
        <w:t xml:space="preserve">Quelle: </w:t>
      </w:r>
      <w:r>
        <w:t>https://mcp.opencaselaw.ch/entscheid/bger_6B_437_2014</w:t>
      </w:r>
    </w:p>
    <w:p>
      <w:r>
        <w:t>FR: TF 6B_437/2014 du 29 décembre 2014</w:t>
      </w:r>
    </w:p>
    <w:p>
      <w:r>
        <w:t>IT: TF 6B_437/2014 del 29 dicembre 2014</w:t>
      </w:r>
    </w:p>
    <w:p>
      <w:pPr>
        <w:pStyle w:val="Heading2"/>
      </w:pPr>
      <w:r>
        <w:t>Erwägungen</w:t>
      </w:r>
    </w:p>
    <w:p>
      <w:r>
        <w:rPr>
          <w:b/>
        </w:rPr>
        <w:t>E. 1</w:t>
      </w:r>
    </w:p>
    <w:p>
      <w:r>
        <w:t>Les décisions sur les prétentions en indemnisation prévues à l' art. 429 al. 1 CPP , notamment celles relatives au tort moral (let. c), constituent des décisions en matière pénale au sens de l' art. 78 al. 1 LTF contre lesquelles le recours en matière pénale est ouvert ( ATF 139 IV 206 consid. 1). Dirigé contre un jugement final ( art. 90 LTF ) rendu par une autorité cantonale de dernière instance ( art. 80 LTF ), le recours est en principe recevable.</w:t>
      </w:r>
    </w:p>
    <w:p>
      <w:r>
        <w:rPr>
          <w:b/>
        </w:rPr>
        <w:t>E. 2</w:t>
      </w:r>
    </w:p>
    <w:p>
      <w:r>
        <w:t>La recourante soutient que le refus des autorités cantonales de désigner un expert psychiatre constitue une violation de son droit d'être entendue.</w:t>
      </w:r>
    </w:p>
    <w:p>
      <w:r>
        <w:t>Le droit d'être entendu, tel qu'il est garanti aux art. 3 al. 2 let .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w:t>
      </w:r>
    </w:p>
    <w:p>
      <w:r>
        <w:t>Conformément à l' art. 106 al. 2 LTF , le Tribunal fédéral n'examine la violation de droits fondamentaux que si ce grief a été invoqué et motivé par la recourante. L'invocation de moyens tirés de la violation de tels droits suppose une argumentation claire et détaillée ( ATF 133 IV 286 consid. 1.4 p. 287).</w:t>
      </w:r>
    </w:p>
    <w:p>
      <w:r>
        <w:t>La recourante expose qu'elle a formulé ses réquisitions de preuves tant auprès du Ministère public que du Tribunal correctionnel et de la Cour de justice et, se référant à l'arrêt attaqué, fait valoir que « les juges cantonaux ont tous rejeté sa demande » d'expertise psychiatrique en raison de l'absence d'éléments susceptibles de remettre en cause sa responsabilité pénale. A la lecture du passage auquel elle fait allusion, on constate que la cour cantonale relève que la recourante a sollicité l'établissement d'une expertise psychiatrique d'abord devant le Ministère public puis devant le Tribunal correctionnel et que ces deux autorités ont rejeté sa requête. Les décisions de ces dernières ne sont pas sujettes à recours en matière pénale devant le Tribunal fédéral, conformément à l' art. 80 al. 1 LTF . Le recours est donc irrecevable dans la mesure où il est dirigé contre les refus émanant de ces deux autorités.</w:t>
      </w:r>
    </w:p>
    <w:p>
      <w:r>
        <w:t>Par ailleurs, la cour cantonale note que la recourante « a requis l'établissement d'une expertise psychiatrique, dès lors qu'elle était suivie depuis de nombreuses années et était sous médication, la consommation de stupéfiants suite au décès de sa fille lui ayant fait perdre toute capacité d'apprécier la dangerosité de certaines situations ». Sur la base d'une telle requête, cette autorité pouvait considérer que le moyen de preuve sollicité tendait à éclairer les circonstances de l'intervention de la recourante dans le contexte de faits sur lequel elle avait à statuer et pas à déterminer le montant de l'indemnité pour détention injustifiée qui avait été allouée. Si elle affirme que l'expertise sollicitée n'avait pas pour but de la soustraire à la responsabilité pénale, la recourante ne prétend pas et a fortiori ne montre pas que la cour cantonale aurait fait une interprétation erronée de sa requête. On ne saurait donc imputer à cette autorité une violation du droit d'être entendu au motif qu'elle a refusé de faire administrer un moyen de preuve en vue d'établir des éléments qui n'avaient pas été évoqués devant elle.</w:t>
      </w:r>
    </w:p>
    <w:p>
      <w:r>
        <w:rPr>
          <w:b/>
        </w:rPr>
        <w:t>E. 3</w:t>
      </w:r>
    </w:p>
    <w:p>
      <w:r>
        <w:t>La recourante reproche à la cour cantonale d'avoir violé l' art. 429 al. 1 let . c CPP. Elle fait valoir qu'elle a souffert physiquement et psychologiquement des menaces et des agissements de sa codétenue à son encontre; elle allègue en outre que la décision attaquée ne respecte pas la jurisprudence du Tribunal fédéral.</w:t>
      </w:r>
    </w:p>
    <w:p>
      <w:r>
        <w:t>Estimant que l'indemnité de 200 fr. par jour allouée en première instance était en contradiction avec sa pratique, prenant en compte un montant de base de 100 fr. par jour, à laquelle il n'y avait pas de motif de déroger, la cour cantonale a réduit de moitié l'indemnité.</w:t>
      </w:r>
    </w:p>
    <w:p>
      <w:r>
        <w:t>Conformément à l' art. 429 al. 1 let . c CPP, si, du fait de la procédure, le prévenu a subi une atteinte particulièrement grave à ses intérêts personnels au sens des art. 28 al. 3 CC ou 49 CO, il aura droit à la réparation de son tort moral (Message CPP, p. 1313). Selon la jurisprudence rendue avant l'entrée en vigueur du CPP, le montant de l'indemnité en matière de détention injustifiée doit être fixé en fonction de la gravité de l'atteinte portée à la personnalité ( art. 49 al. 1 CO ; ATF 135 IV 43 consid. 4.1 p. 47; 113 IV 93 consid. 3a p. 98). Il faut tenir compte de toutes les circonstances, notamment des effets négatifs de la détention sur l'intégrité physique, psychique ou encore sur la réputation de l'intéressé ( ATF 112 Ib 446 consid. 5b/aa p. 458). L'activité professionnelle du lésé doit également être prise en compte dans cette appréciation ( ATF 113 IV 93 consid. 3a p. 98). Il appartient au demandeur d'invoquer et de prouver les atteintes subies ( ATF 135 IV 43 consid. 4.1 p. 47; 117 IV 209 consid. 4b p. 218).</w:t>
      </w:r>
    </w:p>
    <w:p>
      <w:r>
        <w:t>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(arrêt 6B_133/2014 du 18 septembre 2014 consid. 3.2 et les arrêts cités).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La fixation de l'indemnité pour tort moral est une question d'appréciation, de sorte que le Tribunal fédéral ne la revoit qu'avec retenue (cf. ATF 137 III 303 consid. 2.2.2 p. 309 s.; arrêt 6B_111/2012 du 15 mai 2012 consid. 4.2). Il n'y a pas lieu de s'écarter de ces principes qui peuvent être repris s'agissant de l'application de l' art. 429 al. 1 let . c CPP (arrêt 6B_133/2014 du 18 septembre 2014 consid. 3.2).</w:t>
      </w:r>
    </w:p>
    <w:p>
      <w:r>
        <w:t>En l'espèce, la cour cantonale s'est bornée à prendre en considération un montant de base de 100 fr. par jour selon sa pratique, en relevant qu'il n'y avait aucun motif d'y déroger. En procédant de la sorte, elle a méconnu la jurisprudence du Tribunal fédéral rappelée ci-dessus et a violé le droit fédéral. Partant, le recours doit être admis, l'arrêt attaqué annulé dans la mesure où il condamne l'Etat de Genève à verser à la recourante la somme de 9'500 fr. à titre de réparation du tort moral et la cause doit être renvoyée à l'autorité cantonale afin qu'elle statue à nouveau en partant de la prémisse qu'en l'absence de circonstances particulières l'indemnité pour détention injustifiée est de 200 fr. par jour.</w:t>
      </w:r>
    </w:p>
    <w:p>
      <w:r>
        <w:rPr>
          <w:b/>
        </w:rPr>
        <w:t>E. 4</w:t>
      </w:r>
    </w:p>
    <w:p>
      <w:r>
        <w:t>Vu l'issue de la procédure, il ne sera pas perçu de frais ( art. 66 al. 1 et 4 LTF ) et le canton de Genève versera à la recourante une indemnité de dépens pour la procédure devant le Tribunal fédéral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