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6B_435/2007 vom 12. Februar 2008</w:t>
      </w:r>
    </w:p>
    <w:p>
      <w:r>
        <w:t>Bundesgericht, 2008-02-12, FR</w:t>
      </w:r>
    </w:p>
    <w:p>
      <w:r>
        <w:rPr>
          <w:b/>
        </w:rPr>
        <w:t xml:space="preserve">Quelle: </w:t>
      </w:r>
      <w:r>
        <w:t>https://mcp.opencaselaw.ch/entscheid/bger_6B_435_2007</w:t>
      </w:r>
    </w:p>
    <w:p>
      <w:r>
        <w:t>FR: TF 6B_435/2007 du 12 février 2008</w:t>
      </w:r>
    </w:p>
    <w:p>
      <w:r>
        <w:t>IT: TF 6B_435/2007 del 12 febbraio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La recourante soulève tout d'abord un grief d'ordre constitutionnel, qu'il convient d'examiner préalablement. Elle reproche à la cour cantonale, au titre de la violation de son droit d'être entendue ( art. 29 Cst. ), de n'avoir pas examiné l'un des arguments qu'elle a soulevé en procédure cantonale.</w:t>
      </w:r>
    </w:p>
    <w:p>
      <w:r>
        <w:rPr>
          <w:b/>
        </w:rPr>
        <w:t>E. 2.1</w:t>
      </w:r>
    </w:p>
    <w:p>
      <w:r>
        <w:t>Le droit d'être entendu, tel qu'il est garanti à l' 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L'autorité n'est pas tenue de discuter de manière détaillée tous les arguments soulevés par les parties et peut se limiter à l'examen des questions décisives pour l'issue du litige ( ATF 126 I 15 consid. 2a/aa p. 17; 125 II 369 consid. 2c p. 372; 124 II 146 consid. 2a p. 149; 124 V 180 consid. 1a p. 181 et les arrêts cités). Le Tribunal fédéral examine librement si les exigences posées par l' art. 29 al. 2 Cst. ont été respectées ( ATF 124 I 49 consid. 3a p. 51, 122 I 153 consid. 3 p. 158 et les arrêts cités).</w:t>
      </w:r>
    </w:p>
    <w:p>
      <w:r>
        <w:rPr>
          <w:b/>
        </w:rPr>
        <w:t>E. 2.2</w:t>
      </w:r>
    </w:p>
    <w:p>
      <w:r>
        <w:t>En l'espèce, la recourante expose qu'elle a invoqué sous l'angle de l'égalité de traitement dans l'application de l' art. 42 CP , la condamnation, prononcée par le même tribunal d'arrondissement en décembre 2006, d'un autre régisseur immobilier, qui a pu bénéficier du sursis bien que les détournements qui lui étaient reprochés portassent sur des montants nettement supérieurs à ceux en cause en l'espèce.</w:t>
      </w:r>
    </w:p>
    <w:p>
      <w:r>
        <w:t>Comme la jurisprudence a déjà eu l'occasion de le souligner,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 ATF 120 IV 136 consid. 3a p. 144; 116 IV 292 ). Il ne suffit notamment pas que le recourant puisse citer l'un ou l'autre cas où une peine particulièrement clémente a été fixée pour prétendre à un droit à l'égalité de traitement ( ATF 120 IV 136 consid. 3a p. 144 et les arrêts cités). Le principe de la légalité prime du reste sur celui de l'égalité ( ATF 124 IV 44 , consid. 2c p. 47).</w:t>
      </w:r>
    </w:p>
    <w:p>
      <w:r>
        <w:t>Cette pratique restrictive a été développée essentiellement en matière de fixation de la quotité de la peine et souligne clairement les limites très étroites dans lesquelles les comparaisons sont pertinentes dans ce contexte. Or, la recourante n'invoque pas le précédent qu'elle allègue dans cette perspective - elle souligne au contraire dans ses écritures ne plus contester la quotité de sa peine - , qu'il n'y a dès lors pas lieu d'examiner ( art. 106 al. 2 LTF ) mais dans celle de l'octroi du sursis. Elle entend déduire de la comparaison qu'elle propose un lien entre les montants détournés et l'octroi ou le refus du sursis dans l'un et l'autre cas. Ce faisant, elle perd de vue que l'octroi du sursis dépend essentiellement du pronostic relatif aux perspectives d'amendement de l'intéressé ( art. 42 al. 1 CP ), sur lesquelles l'ampleur des détournements opérés n'a d'influence qu'en tant qu'elle constitue l'une des circonstances de l'infraction, à côté de nombreux autres facteurs (cf. infra consid. 3.2). Aussi, faute de toute autre indication sur l'ensemble des circonstances topiques, personnelles notamment, qui prévalaient dans le cas invoqué la recourante ne démontre-t-elle pas à satisfaction de droit ( art. 106 al. 2 LTF ) en quoi cette comparaison aurait été décisive dans le cas d'espèce. Le recours est rejeté sur ce point.</w:t>
      </w:r>
    </w:p>
    <w:p>
      <w:r>
        <w:rPr>
          <w:b/>
        </w:rPr>
        <w:t>E. 3</w:t>
      </w:r>
    </w:p>
    <w:p>
      <w:r>
        <w:t>Sur le fond, la recourante n'élève plus aucun grief sur la qualification des infractions qui lui sont reprochées, ni sur la quotité de la peine infligée. Elle critique exclusivement le refus du sursis complet à l'exécution de la peine de 22 mois de privation de liberté.</w:t>
      </w:r>
    </w:p>
    <w:p>
      <w:r>
        <w:rPr>
          <w:b/>
        </w:rPr>
        <w:t>E. 3.1</w:t>
      </w:r>
    </w:p>
    <w:p>
      <w:r>
        <w:t>Selon le nouvel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w:t>
      </w:r>
    </w:p>
    <w:p>
      <w:r>
        <w:rPr>
          <w:b/>
        </w:rPr>
        <w:t>E. 3.2</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5 consid. 4.2.1; ATF 128 IV 193 consid. 3a; 118 IV 97 consid. 2b).</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5 consid. 4.2.2).</w:t>
      </w:r>
    </w:p>
    <w:p>
      <w:r>
        <w:rPr>
          <w:b/>
        </w:rPr>
        <w:t>E. 3.3</w:t>
      </w:r>
    </w:p>
    <w:p>
      <w:r>
        <w:t>L' 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3.4</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partiel. En effet, s'il n'existe aucune perspective que l'auteur puisse être influencé de quelque manière par un sursis complet ou partiel, la peine doit être entièrement exécutée (cf. ATF 134 IV 10 consid. 5.3.1 et les réf.).</w:t>
      </w:r>
    </w:p>
    <w:p>
      <w:r>
        <w:t>En revanche, les conditions objectives des art. 42 et 43 CP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octroyé (cf. ATF 134 IV 11 , consid. 5.3.2).</w:t>
      </w:r>
    </w:p>
    <w:p>
      <w:r>
        <w:rPr>
          <w:b/>
        </w:rPr>
        <w:t>E. 3.5</w:t>
      </w:r>
    </w:p>
    <w:p>
      <w:r>
        <w:t>Lorsque la peine privative de liberté est d'une durée telle qu'elle permette le choix entre le sursis complet ( art. 42 CP ) et le sursis partiel ( art. 43 CP ),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 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 art. 42 al. 4 CP avec le sursis apparaît suffisante sous l'angle de la prévention spéciale. Le tribunal doit examiner préalablement cette possibilité ( ATF 134 IV 14 , consid. 5.5.2).</w:t>
      </w:r>
    </w:p>
    <w:p>
      <w:r>
        <w:rPr>
          <w:b/>
        </w:rPr>
        <w:t>E. 3.6</w:t>
      </w:r>
    </w:p>
    <w:p>
      <w:r>
        <w:t>En l'espèce, procédant en deux temps, la cour cantonale a jugé, en se référant aux éléments d'appréciation relevés par le Tribunal correctionnel, que la nature des infractions commises et les constats très mitigés faits à propos de l'activité actuelle de la recourante ne permettaient pas de dire qu'une peine ferme ne paraissait pas nécessaire, la prise de conscience de la recourante devant notamment être relativisée. La cour cantonale en a déduit que le prononcé d'un sursis au sens de l'art. 42 nCP ne se justifiait pas (arrêt entrepris consid. 12.3 p. 17). Elle a ensuite relevé que la faute de la recourante était suffisamment lourde pour justifier une peine ferme (prévention générale), mais que l'effet de prévention spéciale lié à un sursis partiel devait également être pris en considération compte tenu des activités actuelles de la recourante. Partant, il y avait lieu d'accorder le sursis partiel, la partie à exécuter et la partie suspendue étant chacune fixée à onze mois (arrêt entrepris, consid. 13.2 p. 17 s.).</w:t>
      </w:r>
    </w:p>
    <w:p>
      <w:r>
        <w:rPr>
          <w:b/>
        </w:rPr>
        <w:t>E. 3.6.1</w:t>
      </w:r>
    </w:p>
    <w:p>
      <w:r>
        <w:t>La recourante soutient que la nature des infractions reprochées ne constituerait pas un élément pertinent pour poser un pronostic en vue du sursis. Elle conteste, par ailleurs, l'appréciation portée par la cour cantonale sur ses activités actuelles.</w:t>
      </w:r>
    </w:p>
    <w:p>
      <w:r>
        <w:t>Il est vrai qu'en elle-même, la nature de l'infraction ne fournit aucune indication sur les perspectives d'amendement du condamné. La jurisprudence l'a relevé à de nombreuses reprises, notamment en relation avec la conduite en état d'ébriété ( ATF 101 IV 257 consid. 1 p. 258, 98 IV 159, consid. 2 p. 161) ou les infractions à la loi fédérale sur les stupéfiants ( ATF 101 IV 122 consid. 2, p. 123). La cour cantonale n'a cependant pas raisonné de la sorte en l'espèce. A ses yeux, l'existence d'un doute sur l'absence de pronostic défavorable ne résultait pas simplement du fait que la recourante avait commis des infractions contre le patrimoine, mais de la circonstance que la poursuite de ses activités dans l'immobilier malgré ses démêlés avec la justice relativisait sa prise de conscience. Dans son principe, ce raisonnement n'est pas contraire au droit fédéral.</w:t>
      </w:r>
    </w:p>
    <w:p>
      <w:r>
        <w:rPr>
          <w:b/>
        </w:rPr>
        <w:t>E. 3.6.2</w:t>
      </w:r>
    </w:p>
    <w:p>
      <w:r>
        <w:t>Cela étant, la motivation de l'arrêt cantonal, même si elle renvoie au jugement de première instance, ne permet pas de comprendre le raisonnement suivi. Le pronostic formulé repose en effet exclusivement sur deux éléments. La cour cantonale a relevé, d'une part, la nature des infractions commises en relation avec les constats très mitigés faits par le tribunal correctionnel à propos de l'activité actuelle de la recourante et, d'autre part, indiqué qu'il fallait relativiser la prise de conscience de la recourante (arrêt entrepris, consid. 12.3, p. 17). Or, le seul fait que la recourante continue à exercer des activités dans l'immobilier, au travers de nombreuses société et, le cas échéant, pour des clients à l'étranger, ne permet pas encore d'affirmer que seule l'exécution d'une peine d'emprisonnement ferme serait de nature à la dissuader de commettre de nouvelles infractions. Si ces faits présentent en effet quelques similitudes avec ceux jugés en l'espèce (la fondation grugée avait son siège à Paris et plusieurs sociétés sont intervenues), ils apparaissent en définitive communs à de nombreuses activités immobilières licites. Par ailleurs, en l'absence de toute constatation de fait précise sur la nature des immeubles en question et la situation personnelle de ces clients étrangers, il n'est pas possible de contrôler si ces activités sont effectivement illicites ou même simplement douteuses et constituent, dans cette mesure, un élément défavorable du pronostic.</w:t>
      </w:r>
    </w:p>
    <w:p>
      <w:r>
        <w:rPr>
          <w:b/>
        </w:rPr>
        <w:t>E. 3.6.3</w:t>
      </w:r>
    </w:p>
    <w:p>
      <w:r>
        <w:t>Reste le reproche d'avoir refusé de collaborer à l'instruction, dont le Tribunal correctionnel a déduit un défaut de prise de conscience et la cour cantonale qu'il fallait relativiser la prise de conscience de la recourante. Ce refus de collaborer à l'instruction ne porte cependant pas sur l'ensemble des circonstances du cas d'espèce. Il n'a, en particulier, pas trait aux infractions sanctionnées. Il ressort en effet du jugement de première instance qu'aux débats, l'intéressée n'a contesté ni les montants détournés ni la qualification pénale de l'infraction, en confirmant au surplus ne pas se prévaloir de l'Ersatzbereitschaft (jugement, consid. II.3 p. 11). Il a donc essentiellement été reproché à la recourante d'avoir refusé de collaborer à l'instruction quant à sa situation professionnelle actuelle.</w:t>
      </w:r>
    </w:p>
    <w:p>
      <w:r>
        <w:t>Contrairement à ce que paraît avoir pensé le Tribunal correctionnel, le seul refus de collaborer à l'instruction ne permet pas encore de tirer des conclusions sur la prise de conscience du condamné et motiver le refus du sursis. Le juge doit, au contraire, rechercher les raisons qui motivent ce refus puis les confronter à l'ensemble des éléments pertinents pour le pronostic ( ATF 101 IV 257 consid. 2a p. 259; cf. aussi arrêts 6S.477/2002 du 12 mars 2003, 6S.296/2003 du 15 octobre 2003 et 6S.276/2006 du 26 septembre 2006). L'arrêt cantonal et le jugement de première instance ne fournissent aucune indication sur ce point. Les autorités cantonales n'ont pas non plus indiqué comment elles avaient pris en considération dans leur pronostic l'absence de tout antécédent de la recourante dont le casier judiciaire vierge (jugement, consid. I. p. 7) constitue pourtant un élément d'appréciation favorable essentiel, ainsi que la réputation de la recourante, à propos de laquelle ces décisions sont muettes. Dans ces conditions, il n'est pas possible de contrôler comment a été appliqué le droit fédéral. Il s'ensuit que la cause doit être renvoyée à la cour cantonale, afin qu'elle complète l'instruction et rende une nouvelle décision.</w:t>
      </w:r>
    </w:p>
    <w:p>
      <w:r>
        <w:rPr>
          <w:b/>
        </w:rPr>
        <w:t>E. 4</w:t>
      </w:r>
    </w:p>
    <w:p>
      <w:r>
        <w:t>Le recours est admis partiellement. La recourante supporte une part des frais judiciaires dans la mesure où elle succombe ( art. 66 al. 1 LTF ). Elle peut prétendre une indemnité de dépens réduite dans la mesure où elle obtient gain de cause ( art. 68 al. 1 LTF ), ce qui rend, dans la même mesure, sans objet sa requête d'assistance judiciaire (art. 64 al. 2 dernière phrase LTF), qui doit, pour le surplus être rejetée, en tant que le grief constitutionnel soulevé était d'emblée dénué de toute chance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