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433/2014 vom 18. August 2014</w:t>
      </w:r>
    </w:p>
    <w:p>
      <w:r>
        <w:t>Bundesgericht, 2014-08-18, FR</w:t>
      </w:r>
    </w:p>
    <w:p>
      <w:r>
        <w:rPr>
          <w:b/>
        </w:rPr>
        <w:t xml:space="preserve">Quelle: </w:t>
      </w:r>
      <w:r>
        <w:t>https://mcp.opencaselaw.ch/entscheid/bger_6B_433_2014</w:t>
      </w:r>
    </w:p>
    <w:p>
      <w:r>
        <w:t>FR: TF 6B 433/2014 du 18 août 2014</w:t>
      </w:r>
    </w:p>
    <w:p>
      <w:r>
        <w:t>IT: TF 6B 433/2014 del 18 agosto 2014</w:t>
      </w:r>
    </w:p>
    <w:p>
      <w:pPr>
        <w:pStyle w:val="Heading2"/>
      </w:pPr>
      <w:r>
        <w:t>Regeste</w:t>
      </w:r>
    </w:p>
    <w:p>
      <w:r>
        <w:t>Libération conditionnelle (mesure) | Droit pénal (en général)</w:t>
      </w:r>
    </w:p>
    <w:p>
      <w:pPr>
        <w:pStyle w:val="Heading2"/>
      </w:pPr>
      <w:r>
        <w:t>Erwägungen</w:t>
      </w:r>
    </w:p>
    <w:p>
      <w:r>
        <w:rPr>
          <w:b/>
        </w:rPr>
        <w:t>E. 1</w:t>
      </w:r>
    </w:p>
    <w:p>
      <w:r>
        <w:t>Le Tribunal fédéral examine librement et d'office les conditions de recevabilité des recours qui lui sont soumis ( ATF 138 I 367 consid. 1 p. 369).</w:t>
      </w:r>
    </w:p>
    <w:p>
      <w:r>
        <w:rPr>
          <w:b/>
        </w:rPr>
        <w:t>E. 1.1</w:t>
      </w:r>
    </w:p>
    <w:p>
      <w:r>
        <w:t>En tant que le recourant conclut à l'annulation de l'ordonnance du 18 mars 2014 rendue par le Juge d'application des peines, son recours est irrecevable, faute d'être dirigé contre une décision sujette à un recours auprès du Tribunal fédéral (cf. art. 80 al. 1 LTF ). On comprend toutefois qu'il conteste les règles de conduite qui lui ont été imposées ainsi que la durée du délai d'épreuve et qu'il souhaite dans cette mesure la réforme du jugement cantonal qui rejette son recours sur ces questions. Sous cet angle, ses conclusions sont recevables. Dans la mesure où le recourant discute le bien-fondé de la mesure de curatelle de représentation et de gestion prononcée à son endroit par le juge de paix, cette décision ne fait pas l'objet de la présente procédure qui a trait aux seules modalités de sa libération conditionnelle. Le recours est irrecevable sur cette question, étant précisé que la deuxième Cour civile du Tribunal fédéral a rejeté le recours de l'intéressé formé contre le prononcé de cette mesure, confirmée en instance cantonale (arrêt 5A_347/2014 du 5 juin 2014).</w:t>
      </w:r>
    </w:p>
    <w:p>
      <w:r>
        <w:rPr>
          <w:b/>
        </w:rPr>
        <w:t>E. 1.2</w:t>
      </w:r>
    </w:p>
    <w:p>
      <w:r>
        <w:t>Le recours en matière pénale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p. 88 s.; 135 III 397 consid. 1.4 p. 400; 134 III 102 consid. 1.1 p. 104 s.). L' art. 42 al. 2 LTF exige par ailleurs que le recourant discute les motifs de la décision entreprise et indique précisément en quoi il estime que l'autorité précédente a méconnu le droit ( ATF 140 III 86 consid. 2 p. 89). 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Le recourant qui soutient que les faits ont été établis de manière manifestement inexacte ( art. 97 al. 1 LTF ), à savoir que les constatations de fait sont arbitraires au sens de l' art. 9 Cst. ( ATF 134 IV 36 consid. 1.4.1 p. 39; 133 II 249 consid. 1.2.2 p. 252), doit démontrer, par une argumentation précise, en quoi consiste la violation ( art. 106 al. 2 LTF ). Au surplus, aucun fait nouveau ni preuve nouvelle ne peut être présenté, à moins de résulter de la décision de l'autorité précédente ( art. 99 al. 1 LTF ).</w:t>
      </w:r>
    </w:p>
    <w:p>
      <w:r>
        <w:rPr>
          <w:b/>
        </w:rPr>
        <w:t>E. 2.1</w:t>
      </w:r>
    </w:p>
    <w:p>
      <w:r>
        <w:t>Selon l' art. 62 al. 3 CP , la personne libérée conditionnellement peut être obligée de se soumettre à un traitement ambulatoire pendant le délai d'épreuve. L'autorité d'exécution peut ordonner, pour la durée du délai d'épreuve, une assistance de probation et lui imposer des règles de conduite. L' art. 94 CP prévoit que les règles de conduite portent en particulier sur l'activité professionnelle du condamné, son lieu de séjour, la conduite de véhicules à moteur, la réparation du dommage ainsi que les soins médicaux et psychologiques. Le traitement ambulatoire est appréhendé dans le cadre de la libération conditionnelle comme une règle de conduite particulière ( ROTH/THALMANN, Commentaire romand CP I, 2009, n° 38 ad art. 62 CP ). Il doit répondre aux mêmes conditions d'application que la mesure de traitement ambulatoire ordonnée en application de l' art. 63 CP ( MARIANNE HEER, in Basler Kommentar, Strafrecht I, 3e éd. 2013, n° 41 ad art. 62 CP ). Les règles de conduite doivent servir à la prévention de crimes ou de délits ( ROTH/THALMANN, op. cit., n° 41 ad art. 62 CP ; MARIANNE HEER, op. cit., n° 41 ad art. 62 CP ) et respecter le principe de proportionnalité ( ANDREA BAECHTOLD, Exécution des peines, 2008, n° 19 p. 266). L'autorité cantonale n'a ainsi pas enfreint le droit fédéral en constatant que les règles de conduite, critiquées par le recourant, ordonnées par le juge d'application des peines telles que figurant sous chiffres IV à VIII, sont toutes susceptibles d'assortir une décision de libération conditionnelle d'une mesure thérapeutique institutionnelle. En outre, au vu des constatations qui lient le Tribunal fédéral ( art. 105 al. 1 LTF ) et que le recourant ne discute pas, ou du moins pas conformément aux exigences de motivation accrues posées en matière d'appréciation de preuves ( art. 106 al. 2 LTF ), il est établi que les infractions commises sont en lien avec l'état mental du recourant qui souffre d'une schizophrénie paranoïde ainsi que d'une dépendance aux substances psycho-actives multiples. La poursuite d'un traitement ambulatoire psychiatrique et addictologique pour prévenir le risque de récidive et favoriser la stabilisation du recourant s'avère justifiée, ce que l'autorité cantonale a constaté sans violation du droit fédéral. Il en va de même des autres règles de conduite, en particulier de la nécessité de résider à l'EMS Y.________ ou dans tout autre lieu adapté à sa situation et agréé par l'OEP. L'obligation de résider en un lieu déterminé est une règle de conduite prévue par l' art. 94 CP et elle est indispensable de l'avis de tous les intervenants ( art. 105 al. 1 LTF ) pour assurer au recourant un cadre structurant et sécuritaire, compte tenu de la gravité de ses troubles psychiques et de sa longue addiction aux stupéfiants. Les contrôles réguliers d'abstinence à l'alcool et aux stupéfiants constituent également une règle de conduite adéquate pour prévenir le risque de rechute. Le recourant ne discute nullement de manière conforme aux exigences de motivation une quelconque violation du droit fédéral de sorte que le recours se révèle irrecevable sur ces questions.</w:t>
      </w:r>
    </w:p>
    <w:p>
      <w:r>
        <w:rPr>
          <w:b/>
        </w:rPr>
        <w:t>E. 2.2</w:t>
      </w:r>
    </w:p>
    <w:p>
      <w:r>
        <w:t>Le recourant conteste aussi la durée du délai d'épreuve de cinq ans assortissant sa libération conditionnelle. L' art. 62 al. 2 CP prévoit que le délai d'épreuve est de un an à cinq ans en cas de libération conditionnelle de la mesure prévue à l' art. 59 CP . Le recourant n'explique pas en quoi la motivation cantonale, qui expose que ce délai est justifié au motif que l'évolution du recourant, quoique positive, demeure lente et doit se faire progressivement afin de consolider les acquis et bénéficier d'une amélioration significative de ses troubles psychiques, violerait le droit fédéral; il ne prétend pas davantage qu'elle reposerait sur des constatations établies arbitrairement. Le recours se révèle irrecevable sur ce point également (art. 42 al. 2 et 106 al. 2 LTF). Au demeurant, l'appréciation de la durée du délai d'épreuve telle qu'elle est motivée ne procède pas d'un abus du pouvoir d'appréciation ( ATF 127 IV 145 consid. 2c aa p. 147), quand bien même l'autorité a retenu la durée maximum.</w:t>
      </w:r>
    </w:p>
    <w:p>
      <w:r>
        <w:rPr>
          <w:b/>
        </w:rPr>
        <w:t>E. 3</w:t>
      </w:r>
    </w:p>
    <w:p>
      <w:r>
        <w:t>Dans la mesure où le recourant se plaint de la violation du droit à une défense efficace, son grief est irrecevable, faute de satisfaire à toute exigence de motivation accrue posée en matière de violation de droits fondamentaux ( art. 106 al. 2 LTF ). On ne discerne au surplus dans le recours aucune circonstance qui permettrait de considérer que le défenseur d'office du recourant qui l'a assisté durant la procédure cantonale ait négligé ses devoirs professionnels à son détriment (sur ces questions, voir ATF 126 I 194 consid. 3d p. 198 s.). Il ne peut donc être reproché à l'autorité cantonale de ne pas avoir procédé à un changement de défenseur d'office.</w:t>
      </w:r>
    </w:p>
    <w:p>
      <w:r>
        <w:rPr>
          <w:b/>
        </w:rPr>
        <w:t>E. 4</w:t>
      </w:r>
    </w:p>
    <w:p>
      <w:r>
        <w:t>Le recours se révèle irrecevable. Comme ses conclusions étaient dénuées de toute chance de succès, le recourant doit être débouté de sa demande d'assistance judiciaire ( art. 64 al. 1 LTF , a contrario ) et supporter les frais judiciaires, réduits pour tenir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