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433/2007 vom 11. Februar 2008</w:t>
      </w:r>
    </w:p>
    <w:p>
      <w:r>
        <w:t>Bundesgericht, 2008-02-11, FR</w:t>
      </w:r>
    </w:p>
    <w:p>
      <w:r>
        <w:rPr>
          <w:b/>
        </w:rPr>
        <w:t xml:space="preserve">Quelle: </w:t>
      </w:r>
      <w:r>
        <w:t>https://mcp.opencaselaw.ch/entscheid/bger_6B_433_2007</w:t>
      </w:r>
    </w:p>
    <w:p>
      <w:r>
        <w:t>FR: TF 6B 433/2007 du 11 février 2008</w:t>
      </w:r>
    </w:p>
    <w:p>
      <w:r>
        <w:t>IT: TF 6B 433/2007 del 11 febbraio 2008</w:t>
      </w:r>
    </w:p>
    <w:p>
      <w:pPr>
        <w:pStyle w:val="Heading2"/>
      </w:pPr>
      <w:r>
        <w:t>Regeste</w:t>
      </w:r>
    </w:p>
    <w:p>
      <w:r>
        <w:t>Gestion fautive; fixation de la peine | Infractions</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n'entre pas en matière sur les critiques de nature appellatoire ( ATF 133 III 393 consid. 6 p. 397).</w:t>
      </w:r>
    </w:p>
    <w:p>
      <w:r>
        <w:rPr>
          <w:b/>
        </w:rPr>
        <w:t>E. 2</w:t>
      </w:r>
    </w:p>
    <w:p>
      <w:r>
        <w:t>Le recourant soutient que les fautes qui lui ont été reprochées dans la gestion comptable de son entreprise ne seraient pas la cause adéquate du surendettement de sa société. A juste titre, il ne remet en question ni la constatation de l'ouverture de la faillite, ni celle du surendettement ( art. 725 al. 2 CO ) de la société. Il ne conteste pas non plus avoir eu l'obligation de tenir une comptabilité ( art. 957 ss CO ) ni, en ne le faisant pas et en mêlant indistinctement ses activités propres avec les activités sociales, avoir violé le devoir de diligence qui lui incombait en qualité d'administrateur ( art. 717 CO ).</w:t>
      </w:r>
    </w:p>
    <w:p>
      <w:r>
        <w:rPr>
          <w:b/>
        </w:rPr>
        <w:t>E. 2.1</w:t>
      </w:r>
    </w:p>
    <w:p>
      <w:r>
        <w:t>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 ATF 115 IV 41 consid. 2).</w:t>
      </w:r>
    </w:p>
    <w:p>
      <w:r>
        <w:rPr>
          <w:b/>
        </w:rPr>
        <w:t>E. 2.2</w:t>
      </w:r>
    </w:p>
    <w:p>
      <w:r>
        <w:t>Aux 31 décembre 1999 et 2000, la société anonyme disposait d'une fortune nette s'élevant respectivement à 4595 fr. 20 et 9791 fr. 70. Cette situation n'était certes pas brillante, dans la mesure où le capital-actions n'était déjà plus entièrement couvert à ce moment-là en raison de prélèvements sur le compte-courant actionnaire (jugement, consid. 9.8 p. 8), mais les actifs couvraient encore les passifs. Il n'est, par ailleurs, pas contesté que la société était en revanche très largement surendettée lors de sa faillite en 2003, le jugement de première instance constatant un découvert d'au minimum 680'000 francs en prenant en compte uniquement les créances produites dans la faillite (jugement, consid. 9.7 p. 7). En ne tenant aucune comptabilité dès août 2001, ainsi qu'en utilisant un compte unique pour les affaires de la société anonyme et celles qu'il faisait pour son propre compte, le recourant s'est privé de tout instrument de contrôle lui permettant de connaître la situation financière de sa société anonyme, et de prendre à temps les mesures permettant sinon d'éviter tout au moins de limiter le surendettement (cf. art. 725 CO ). Il s'ensuit que la faute de gestion reprochée au recourant est dans cette mesure au moins en rapport de causalité avec le surendettement, respectivement avec l'augmentation de ce dernier, ce qui suffit selon la jurisprudence ( ATF 115 IV 41 consid. 2 précité; cf. également Alexander Brunner, Strafgesetzbuch II, Niggli/Wiprächtiger [Hrsg.], 2007, Art. 165 n. 40).</w:t>
      </w:r>
    </w:p>
    <w:p>
      <w:r>
        <w:rPr>
          <w:b/>
        </w:rPr>
        <w:t>E. 2.3</w:t>
      </w:r>
    </w:p>
    <w:p>
      <w:r>
        <w:t>Le recourant soutient encore, en substance, qu'il aurait en réalité utilisé une partie des encaissements afférents à ses activités privées pour acquitter des dettes de la société anonyme. Cet élément de fait ne ressort pas de l'arrêt entrepris ( art. 105 al. 1 LTF ). Les autorités cantonales ont d'ailleurs constaté qu'il n'était plus possible de reconstituer les comptes de la société (arrêt entrepris consid. 2 p. 3 s). Il s'ensuit que faute de motivation sur ce point spécifique ( art. 106 al. 2 LTF ), le grief ainsi formulé est irrecevable. A supposer, au demeurant, qu'il soit établi que le recourant a bien utilisé certains montants comme il le soutient, force serait de constater qu'un tel apport de liquidités n'a pas suffi à endiguer le surendettement de la société anonyme, qui a néanmoins crû à concurrence du découvert constaté dans la faillite. Il s'ensuit que le recourant ne peut rien déduire en sa faveur de ses allégations sous l'angle de la causalité. Le grief est infondé dans la mesure où il est recevable.</w:t>
      </w:r>
    </w:p>
    <w:p>
      <w:r>
        <w:rPr>
          <w:b/>
        </w:rPr>
        <w:t>E. 3</w:t>
      </w:r>
    </w:p>
    <w:p>
      <w:r>
        <w:t>Le recourant, qui ne conclut à la fixation d'une peine de neuf mois de privation de liberté qu'en relation avec sa conclusion tendant à son acquittement du chef d'accusation de gestion fautive, ne soutient pas que l'autorité cantonale aurait excédé ou abusé de son pouvoir d'appréciation en arrêtant la quotité de la peine et il n'apparaît pas que tel serait le cas. Il soutient en revanche qu'il aurait dû bénéficier du sursis pour l'intégralité de la peine privative de liberté et remet en question le pronostic posé par les autorités cantonales.</w:t>
      </w:r>
    </w:p>
    <w:p>
      <w:r>
        <w:rPr>
          <w:b/>
        </w:rPr>
        <w:t>E. 3.1</w:t>
      </w:r>
    </w:p>
    <w:p>
      <w:r>
        <w:t>Lorsque la peine privative de liberté est d'une durée telle qu'elle permette le choix entre le sursis complet ( art. 42 CP ) et le sursis partiel ( art. 43 CP ),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 art. 43 CP permet alors que l'effet d'avertissement du sursis partiel autorise, compte tenu de l'exécution partielle ordonnée simultanément, un pronostic largement plus favorable pour l'avenir (arrêt 6B_103/2007 du 12 novembre 2007, destiné à la publication aux ATF 134 IV 1 , consid. 5.5.2, p. 14).</w:t>
      </w:r>
    </w:p>
    <w:p>
      <w:r>
        <w:rPr>
          <w:b/>
        </w:rPr>
        <w:t>E. 3.2</w:t>
      </w:r>
    </w:p>
    <w:p>
      <w:r>
        <w:t>Sur le plan subjectif, le juge doit poser, pour l'octroi du sursis, un pronostic quant au comportement futur de l'auteur. La question de savoir si le sursis serait de nature à détourner l'accusé de commettre de nouvelle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(cf. arrêt 6B_103/2007 précité, consid. 4.2.1; ATF 128 IV 193 consid. 3a; 118 IV 97 consid. 2b).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arrêt 6B_103/2007 précité, consid. 4.2.2). Par ailleurs,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 art. 42 al. 2 CP ), soit de circonstances qui empêchent que l'infraction antérieure ne détériore le pronostic (Message du 21 septembre 1998 du Conseil fédéral concernant la modification du code pénal suisse et du code pénal militaire ainsi qu'une loi fédérale régissant la condition pénale des mineurs, FF 1999 II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(arrêt 6B_103/2007 précité, consid. 4.2.3).</w:t>
      </w:r>
    </w:p>
    <w:p>
      <w:r>
        <w:rPr>
          <w:b/>
        </w:rPr>
        <w:t>E. 3.3</w:t>
      </w:r>
    </w:p>
    <w:p>
      <w:r>
        <w:t>En l'espèce, les autorités cantonales ont notamment relevé les antécédents peu flatteurs du recourant, qui comparaissait pour la dixième fois devant l'autorité pénale depuis le 27 décembre 1995 et a déjà été condamné à trois reprises pour des infractions en matière économique, dont une peine de six mois d'emprisonnement avec sursis pendant cinq ans, prononcée le 20 juillet 2000 (escroquerie, détournement de retenues sur salaire, délit contre la LPP, délit contre la LAVS, délit contre la LAA). Elles ont souligné l'absence de sensibilité du recourant aux peines prononcées antérieurement, qui ne l'ont pas dissuadé de persévérer dans sa façon d'agir. Les autorités cantonales étaient ainsi d'autant plus fondées, sur la base de ces éléments, à émettre de sérieux doutes sur les perspectives d'amendement que l'hypothèse visée par l' art. 42 al. 2 CP est réalisée. Dans cette perspective, le fait allégué par le recourant qu'il s'acquitte régulièrement, malgré ses difficultés financières, de contributions d'entretien importantes envers sa famille n'est certes pas défavorable. Il ne démontre cependant pas qu'il aurait subi une évolution particulièrement positive dans sa vie, mais tout au plus qu'il continue à s'acquitter de ce qu'il estime être nécessaire à l'entretien de sa famille. Quant à son activité professionnelle depuis les faits, le recourant se fonde sur des éléments de fait qui ne ressortent pas de l'arrêt cantonal ( art. 105 al. 1 LTF ) et ne tente pas de démontrer qu'il y aurait sur ce point une inexactitude manifeste. Le recours est irrecevable dans cette mesure ( art. 106 al. 2 LTF ). Il convient par ailleurs également de tenir compte du fait que la nouvelle société qu'il a créée en 2006, et dont le jugement de première instance indiquait qu'il était salarié, a été mise en faillite le 8 février 2007 (arrêt entrepris, consid. 4b p. 6), ce qui ne tend pas non plus à démontrer un changement radical dans la vie professionnelle du recourant. On ne saurait, dans ces conditions, reprocher à la cour cantonale d'avoir jugé que seule l'exécution ferme d'une partie de la peine permettait de poser en l'espèce un pronostic favorable.</w:t>
      </w:r>
    </w:p>
    <w:p>
      <w:r>
        <w:rPr>
          <w:b/>
        </w:rPr>
        <w:t>E. 3.4</w:t>
      </w:r>
    </w:p>
    <w:p>
      <w:r>
        <w:t>Pour le surplus, les autorités cantonales ont fixé à six mois la part de la peine à exécuter, soit au minimum légal ( art. 43 al. 2 et 3 CP ), ce qui exclut un réexamen de ce point dans le cadre du recours formé par le condamné.</w:t>
      </w:r>
    </w:p>
    <w:p>
      <w:r>
        <w:rPr>
          <w:b/>
        </w:rPr>
        <w:t>E. 4</w:t>
      </w:r>
    </w:p>
    <w:p>
      <w:r>
        <w:t>Le recours est rejeté dans la mesure où il est recevable. Le recourant, qui succombe, supporte les frais de la procédure ( art. 66 al. 1 LTF ). Il n'y a pas lieu d'allouer des dépens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